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00BA8" w:rsidP="00D00BA8">
            <w:pPr>
              <w:tabs>
                <w:tab w:val="center" w:pos="3095"/>
              </w:tabs>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00BA8" w:rsidP="005D0621">
            <w:pPr>
              <w:rPr>
                <w:b/>
              </w:rPr>
            </w:pPr>
            <w:r>
              <w:rPr>
                <w:rStyle w:val="Firstpagetablebold"/>
              </w:rPr>
              <w:t>17 February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00BA8"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D00BA8" w:rsidP="004A6D2F">
            <w:pPr>
              <w:rPr>
                <w:rStyle w:val="Firstpagetablebold"/>
              </w:rPr>
            </w:pPr>
            <w:r>
              <w:rPr>
                <w:rStyle w:val="Firstpagetablebold"/>
              </w:rPr>
              <w:t>Council Tax 2021/22</w:t>
            </w:r>
          </w:p>
        </w:tc>
      </w:tr>
    </w:tbl>
    <w:p w:rsidR="00D95A35" w:rsidRDefault="00D95A35" w:rsidP="00D95A35">
      <w:pPr>
        <w:pStyle w:val="Heading1"/>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09"/>
        <w:gridCol w:w="1729"/>
        <w:gridCol w:w="6407"/>
      </w:tblGrid>
      <w:tr w:rsidR="00D5547E" w:rsidTr="0080749A">
        <w:tc>
          <w:tcPr>
            <w:tcW w:w="8845" w:type="dxa"/>
            <w:gridSpan w:val="3"/>
            <w:tcBorders>
              <w:bottom w:val="single" w:sz="8" w:space="0" w:color="000000"/>
            </w:tcBorders>
            <w:hideMark/>
          </w:tcPr>
          <w:p w:rsidR="00D5547E" w:rsidRPr="00D95A35" w:rsidRDefault="00745BF0" w:rsidP="00D95A35">
            <w:pPr>
              <w:pStyle w:val="Heading1"/>
              <w:jc w:val="center"/>
              <w:rPr>
                <w:rStyle w:val="Firstpagetablebold"/>
                <w:b/>
              </w:rPr>
            </w:pPr>
            <w:r w:rsidRPr="00D95A35">
              <w:rPr>
                <w:rStyle w:val="Firstpagetablebold"/>
                <w:b/>
              </w:rPr>
              <w:t>Summary and r</w:t>
            </w:r>
            <w:r w:rsidR="00D5547E" w:rsidRPr="00D95A35">
              <w:rPr>
                <w:rStyle w:val="Firstpagetablebold"/>
                <w:b/>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00BA8" w:rsidP="00821AAF">
            <w:r>
              <w:t>To set out the necessary calculations to enable Council to set the 2021/22 Council Tax for Oxford City</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00BA8"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D5547E" w:rsidP="00D00BA8">
            <w:r w:rsidRPr="001356F1">
              <w:t xml:space="preserve">Councillor </w:t>
            </w:r>
            <w:r w:rsidR="00D00BA8">
              <w:t>Ed Turner, Cabinet Member for Finance and Asset Management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00BA8" w:rsidP="005F7F7E">
            <w:r>
              <w:t>n/a</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00BA8" w:rsidP="005F7F7E">
            <w:r>
              <w:t>n/a</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D00BA8" w:rsidP="00D00BA8">
            <w:r>
              <w:rPr>
                <w:rStyle w:val="Firstpagetablebold"/>
              </w:rPr>
              <w:t>Recommendations</w:t>
            </w:r>
            <w:r w:rsidR="005F7F7E">
              <w:rPr>
                <w:rStyle w:val="Firstpagetablebold"/>
              </w:rPr>
              <w:t>:</w:t>
            </w:r>
            <w:r>
              <w:rPr>
                <w:rStyle w:val="Firstpagetablebold"/>
              </w:rPr>
              <w:t xml:space="preserve"> </w:t>
            </w:r>
            <w:r w:rsidR="005F7F7E">
              <w:rPr>
                <w:rStyle w:val="Firstpagetablebold"/>
              </w:rPr>
              <w:t xml:space="preserve">That </w:t>
            </w:r>
            <w:r>
              <w:rPr>
                <w:rStyle w:val="Firstpagetablebold"/>
              </w:rPr>
              <w:t>Council</w:t>
            </w:r>
            <w:r w:rsidR="005F7F7E">
              <w:rPr>
                <w:rStyle w:val="Firstpagetablebold"/>
              </w:rPr>
              <w:t xml:space="preserve"> resolves to</w:t>
            </w:r>
            <w:r>
              <w:rPr>
                <w:rStyle w:val="Firstpagetablebold"/>
              </w:rPr>
              <w:t xml:space="preserve"> approve for the financial year 2021/22 recommendations 1 to 5 and to note points 6 to 8 below:</w:t>
            </w:r>
          </w:p>
        </w:tc>
      </w:tr>
      <w:tr w:rsidR="0030208D" w:rsidRPr="00975B07" w:rsidTr="00D00BA8">
        <w:trPr>
          <w:trHeight w:val="283"/>
        </w:trPr>
        <w:tc>
          <w:tcPr>
            <w:tcW w:w="709"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136" w:type="dxa"/>
            <w:gridSpan w:val="2"/>
            <w:tcBorders>
              <w:top w:val="single" w:sz="8" w:space="0" w:color="000000"/>
              <w:left w:val="nil"/>
              <w:bottom w:val="nil"/>
              <w:right w:val="single" w:sz="8" w:space="0" w:color="000000"/>
            </w:tcBorders>
            <w:shd w:val="clear" w:color="auto" w:fill="auto"/>
          </w:tcPr>
          <w:p w:rsidR="0030208D" w:rsidRPr="00D00BA8" w:rsidRDefault="00D00BA8" w:rsidP="00D72779">
            <w:r w:rsidRPr="00D00BA8">
              <w:t>The City Council’s precept and Council Tax requirement of £14,</w:t>
            </w:r>
            <w:r w:rsidR="00D72779">
              <w:t>911,465</w:t>
            </w:r>
            <w:r w:rsidRPr="00D00BA8">
              <w:t xml:space="preserve"> including Parish precepts and £14,</w:t>
            </w:r>
            <w:r w:rsidR="00D72779">
              <w:t>633,631</w:t>
            </w:r>
            <w:r w:rsidRPr="00D00BA8">
              <w:t xml:space="preserve"> excluding Parish precepts.</w:t>
            </w:r>
          </w:p>
        </w:tc>
      </w:tr>
      <w:tr w:rsidR="0030208D" w:rsidRPr="00975B07" w:rsidTr="00D00BA8">
        <w:trPr>
          <w:trHeight w:val="283"/>
        </w:trPr>
        <w:tc>
          <w:tcPr>
            <w:tcW w:w="709" w:type="dxa"/>
            <w:tcBorders>
              <w:top w:val="nil"/>
              <w:left w:val="single" w:sz="8" w:space="0" w:color="000000"/>
              <w:bottom w:val="nil"/>
              <w:right w:val="nil"/>
            </w:tcBorders>
          </w:tcPr>
          <w:p w:rsidR="0030208D" w:rsidRPr="00975B07" w:rsidRDefault="00046D2B" w:rsidP="004A6D2F">
            <w:r w:rsidRPr="00975B07">
              <w:t>2.</w:t>
            </w:r>
          </w:p>
        </w:tc>
        <w:tc>
          <w:tcPr>
            <w:tcW w:w="8136" w:type="dxa"/>
            <w:gridSpan w:val="2"/>
            <w:tcBorders>
              <w:top w:val="nil"/>
              <w:left w:val="nil"/>
              <w:bottom w:val="nil"/>
              <w:right w:val="single" w:sz="8" w:space="0" w:color="000000"/>
            </w:tcBorders>
            <w:shd w:val="clear" w:color="auto" w:fill="auto"/>
          </w:tcPr>
          <w:p w:rsidR="0030208D" w:rsidRPr="00D00BA8" w:rsidRDefault="00D00BA8" w:rsidP="00D72779">
            <w:r w:rsidRPr="00D00BA8">
              <w:t>The average Band D Council Tax figure (excluding Parish Precepts) of £3</w:t>
            </w:r>
            <w:r w:rsidR="00D72779">
              <w:t>20.17</w:t>
            </w:r>
            <w:r w:rsidRPr="00D00BA8">
              <w:t xml:space="preserve"> a 1.99% increase on the 20</w:t>
            </w:r>
            <w:r w:rsidR="00D72779">
              <w:t>20</w:t>
            </w:r>
            <w:r w:rsidRPr="00D00BA8">
              <w:t>/202</w:t>
            </w:r>
            <w:r w:rsidR="00D72779">
              <w:t>1</w:t>
            </w:r>
            <w:r w:rsidRPr="00D00BA8">
              <w:t xml:space="preserve"> figure of £3</w:t>
            </w:r>
            <w:r w:rsidR="00D72779">
              <w:t>13.92</w:t>
            </w:r>
            <w:r w:rsidRPr="00D00BA8">
              <w:t>. Including Parish Precepts the figure is £3</w:t>
            </w:r>
            <w:r w:rsidR="00D72779">
              <w:t>26.25</w:t>
            </w:r>
            <w:r w:rsidRPr="00D00BA8">
              <w:t>, a 2.0% inc</w:t>
            </w:r>
            <w:r>
              <w:t>rease (see paragraphs 2 to 6).</w:t>
            </w:r>
          </w:p>
        </w:tc>
      </w:tr>
      <w:tr w:rsidR="00D00BA8" w:rsidRPr="00975B07" w:rsidTr="00D00BA8">
        <w:trPr>
          <w:trHeight w:val="283"/>
        </w:trPr>
        <w:tc>
          <w:tcPr>
            <w:tcW w:w="709" w:type="dxa"/>
            <w:tcBorders>
              <w:top w:val="nil"/>
              <w:left w:val="single" w:sz="8" w:space="0" w:color="000000"/>
              <w:bottom w:val="nil"/>
              <w:right w:val="nil"/>
            </w:tcBorders>
          </w:tcPr>
          <w:p w:rsidR="00D00BA8" w:rsidRPr="00975B07" w:rsidRDefault="00D00BA8" w:rsidP="004A6D2F">
            <w:r>
              <w:t>3.</w:t>
            </w:r>
          </w:p>
        </w:tc>
        <w:tc>
          <w:tcPr>
            <w:tcW w:w="8136" w:type="dxa"/>
            <w:gridSpan w:val="2"/>
            <w:tcBorders>
              <w:top w:val="nil"/>
              <w:left w:val="nil"/>
              <w:bottom w:val="nil"/>
              <w:right w:val="single" w:sz="8" w:space="0" w:color="000000"/>
            </w:tcBorders>
            <w:shd w:val="clear" w:color="auto" w:fill="auto"/>
          </w:tcPr>
          <w:p w:rsidR="00D00BA8" w:rsidRPr="00D00BA8" w:rsidRDefault="00D00BA8" w:rsidP="002069B3">
            <w:pPr>
              <w:rPr>
                <w:rStyle w:val="Firstpagetablebold"/>
                <w:b w:val="0"/>
              </w:rPr>
            </w:pPr>
            <w:r w:rsidRPr="00D00BA8">
              <w:rPr>
                <w:rStyle w:val="Firstpagetablebold"/>
                <w:b w:val="0"/>
              </w:rPr>
              <w:t>A contribution of £10,000 to Old Marston Parish Council in recognition of the additional expenditure that the Parish incurs as a consequence of maintaining the cemetery (see paragraphs 9 and 10).</w:t>
            </w:r>
          </w:p>
        </w:tc>
      </w:tr>
      <w:tr w:rsidR="00D00BA8" w:rsidRPr="00975B07" w:rsidTr="00D00BA8">
        <w:trPr>
          <w:trHeight w:val="283"/>
        </w:trPr>
        <w:tc>
          <w:tcPr>
            <w:tcW w:w="709" w:type="dxa"/>
            <w:tcBorders>
              <w:top w:val="nil"/>
              <w:left w:val="single" w:sz="8" w:space="0" w:color="000000"/>
              <w:bottom w:val="nil"/>
              <w:right w:val="nil"/>
            </w:tcBorders>
          </w:tcPr>
          <w:p w:rsidR="00D00BA8" w:rsidRPr="00975B07" w:rsidRDefault="00D00BA8" w:rsidP="004A6D2F">
            <w:r>
              <w:t>4.</w:t>
            </w:r>
          </w:p>
        </w:tc>
        <w:tc>
          <w:tcPr>
            <w:tcW w:w="8136" w:type="dxa"/>
            <w:gridSpan w:val="2"/>
            <w:tcBorders>
              <w:top w:val="nil"/>
              <w:left w:val="nil"/>
              <w:bottom w:val="nil"/>
              <w:right w:val="single" w:sz="8" w:space="0" w:color="000000"/>
            </w:tcBorders>
            <w:shd w:val="clear" w:color="auto" w:fill="auto"/>
          </w:tcPr>
          <w:p w:rsidR="00D00BA8" w:rsidRPr="00D00BA8" w:rsidRDefault="00D00BA8" w:rsidP="00D72779">
            <w:pPr>
              <w:rPr>
                <w:rStyle w:val="Firstpagetablebold"/>
                <w:b w:val="0"/>
              </w:rPr>
            </w:pPr>
            <w:r w:rsidRPr="00D00BA8">
              <w:rPr>
                <w:rStyle w:val="Firstpagetablebold"/>
                <w:b w:val="0"/>
              </w:rPr>
              <w:t>The amount of £6</w:t>
            </w:r>
            <w:r w:rsidR="00D72779">
              <w:rPr>
                <w:rStyle w:val="Firstpagetablebold"/>
                <w:b w:val="0"/>
              </w:rPr>
              <w:t>32</w:t>
            </w:r>
            <w:r w:rsidRPr="00D00BA8">
              <w:rPr>
                <w:rStyle w:val="Firstpagetablebold"/>
                <w:b w:val="0"/>
              </w:rPr>
              <w:t>,</w:t>
            </w:r>
            <w:r w:rsidR="00D72779">
              <w:rPr>
                <w:rStyle w:val="Firstpagetablebold"/>
                <w:b w:val="0"/>
              </w:rPr>
              <w:t>859</w:t>
            </w:r>
            <w:r w:rsidRPr="00D00BA8">
              <w:rPr>
                <w:rStyle w:val="Firstpagetablebold"/>
                <w:b w:val="0"/>
              </w:rPr>
              <w:t xml:space="preserve"> to be treated as Special Expenses (see paragraph 13).</w:t>
            </w:r>
          </w:p>
        </w:tc>
      </w:tr>
      <w:tr w:rsidR="00D00BA8" w:rsidRPr="00975B07" w:rsidTr="00D00BA8">
        <w:trPr>
          <w:trHeight w:val="283"/>
        </w:trPr>
        <w:tc>
          <w:tcPr>
            <w:tcW w:w="709" w:type="dxa"/>
            <w:tcBorders>
              <w:top w:val="nil"/>
              <w:left w:val="single" w:sz="8" w:space="0" w:color="000000"/>
              <w:bottom w:val="nil"/>
              <w:right w:val="nil"/>
            </w:tcBorders>
          </w:tcPr>
          <w:p w:rsidR="00D00BA8" w:rsidRPr="00975B07" w:rsidRDefault="00D00BA8" w:rsidP="004A6D2F">
            <w:r>
              <w:t>5.</w:t>
            </w:r>
          </w:p>
        </w:tc>
        <w:tc>
          <w:tcPr>
            <w:tcW w:w="8136" w:type="dxa"/>
            <w:gridSpan w:val="2"/>
            <w:tcBorders>
              <w:top w:val="nil"/>
              <w:left w:val="nil"/>
              <w:bottom w:val="nil"/>
              <w:right w:val="single" w:sz="8" w:space="0" w:color="000000"/>
            </w:tcBorders>
            <w:shd w:val="clear" w:color="auto" w:fill="auto"/>
          </w:tcPr>
          <w:p w:rsidR="00D00BA8" w:rsidRPr="00D00BA8" w:rsidRDefault="00D00BA8" w:rsidP="00D00BA8">
            <w:pPr>
              <w:rPr>
                <w:rStyle w:val="Firstpagetablebold"/>
                <w:b w:val="0"/>
              </w:rPr>
            </w:pPr>
            <w:r w:rsidRPr="00D00BA8">
              <w:rPr>
                <w:rStyle w:val="Firstpagetablebold"/>
                <w:b w:val="0"/>
              </w:rPr>
              <w:t>The Band D Council Taxes for the various areas of the City (excluding the Police and County Cou</w:t>
            </w:r>
            <w:r>
              <w:rPr>
                <w:rStyle w:val="Firstpagetablebold"/>
                <w:b w:val="0"/>
              </w:rPr>
              <w:t>ncil’s precepts) as follows:</w:t>
            </w:r>
          </w:p>
          <w:p w:rsidR="00D00BA8" w:rsidRPr="00D00BA8" w:rsidRDefault="00D00BA8" w:rsidP="00D00BA8">
            <w:pPr>
              <w:rPr>
                <w:rStyle w:val="Firstpagetablebold"/>
                <w:b w:val="0"/>
              </w:rPr>
            </w:pPr>
            <w:r w:rsidRPr="00D00BA8">
              <w:rPr>
                <w:rStyle w:val="Firstpagetablebold"/>
                <w:b w:val="0"/>
              </w:rPr>
              <w:t>Littlemore</w:t>
            </w:r>
            <w:r w:rsidRPr="00D00BA8">
              <w:rPr>
                <w:rStyle w:val="Firstpagetablebold"/>
                <w:b w:val="0"/>
              </w:rPr>
              <w:tab/>
              <w:t>£3</w:t>
            </w:r>
            <w:r w:rsidR="00D72779">
              <w:rPr>
                <w:rStyle w:val="Firstpagetablebold"/>
                <w:b w:val="0"/>
              </w:rPr>
              <w:t>64.84</w:t>
            </w:r>
          </w:p>
          <w:p w:rsidR="00D00BA8" w:rsidRPr="00D00BA8" w:rsidRDefault="00D00BA8" w:rsidP="00D00BA8">
            <w:pPr>
              <w:rPr>
                <w:rStyle w:val="Firstpagetablebold"/>
                <w:b w:val="0"/>
              </w:rPr>
            </w:pPr>
            <w:r w:rsidRPr="00D00BA8">
              <w:rPr>
                <w:rStyle w:val="Firstpagetablebold"/>
                <w:b w:val="0"/>
              </w:rPr>
              <w:t>Old Marston</w:t>
            </w:r>
            <w:r w:rsidRPr="00D00BA8">
              <w:rPr>
                <w:rStyle w:val="Firstpagetablebold"/>
                <w:b w:val="0"/>
              </w:rPr>
              <w:tab/>
              <w:t>£3</w:t>
            </w:r>
            <w:r w:rsidR="00D72779">
              <w:rPr>
                <w:rStyle w:val="Firstpagetablebold"/>
                <w:b w:val="0"/>
              </w:rPr>
              <w:t>54.03</w:t>
            </w:r>
          </w:p>
          <w:p w:rsidR="00D00BA8" w:rsidRPr="00D00BA8" w:rsidRDefault="00D00BA8" w:rsidP="00D00BA8">
            <w:pPr>
              <w:rPr>
                <w:rStyle w:val="Firstpagetablebold"/>
                <w:b w:val="0"/>
              </w:rPr>
            </w:pPr>
            <w:r w:rsidRPr="00D00BA8">
              <w:rPr>
                <w:rStyle w:val="Firstpagetablebold"/>
                <w:b w:val="0"/>
              </w:rPr>
              <w:t>Risinghurst and Sandhills</w:t>
            </w:r>
            <w:r w:rsidRPr="00D00BA8">
              <w:rPr>
                <w:rStyle w:val="Firstpagetablebold"/>
                <w:b w:val="0"/>
              </w:rPr>
              <w:tab/>
              <w:t>£3</w:t>
            </w:r>
            <w:r w:rsidR="00D72779">
              <w:rPr>
                <w:rStyle w:val="Firstpagetablebold"/>
                <w:b w:val="0"/>
              </w:rPr>
              <w:t>43.15</w:t>
            </w:r>
          </w:p>
          <w:p w:rsidR="00D00BA8" w:rsidRPr="00D00BA8" w:rsidRDefault="00D00BA8" w:rsidP="00D00BA8">
            <w:pPr>
              <w:rPr>
                <w:rStyle w:val="Firstpagetablebold"/>
                <w:b w:val="0"/>
              </w:rPr>
            </w:pPr>
            <w:r w:rsidRPr="00D00BA8">
              <w:rPr>
                <w:rStyle w:val="Firstpagetablebold"/>
                <w:b w:val="0"/>
              </w:rPr>
              <w:t>Blackbird Leys</w:t>
            </w:r>
            <w:r w:rsidRPr="00D00BA8">
              <w:rPr>
                <w:rStyle w:val="Firstpagetablebold"/>
                <w:b w:val="0"/>
              </w:rPr>
              <w:tab/>
              <w:t>£3</w:t>
            </w:r>
            <w:r w:rsidR="00D72779">
              <w:rPr>
                <w:rStyle w:val="Firstpagetablebold"/>
                <w:b w:val="0"/>
              </w:rPr>
              <w:t>25.38</w:t>
            </w:r>
          </w:p>
          <w:p w:rsidR="00D00BA8" w:rsidRDefault="00D00BA8" w:rsidP="00D00BA8">
            <w:pPr>
              <w:rPr>
                <w:rStyle w:val="Firstpagetablebold"/>
                <w:b w:val="0"/>
              </w:rPr>
            </w:pPr>
            <w:r w:rsidRPr="00D00BA8">
              <w:rPr>
                <w:rStyle w:val="Firstpagetablebold"/>
                <w:b w:val="0"/>
              </w:rPr>
              <w:lastRenderedPageBreak/>
              <w:t>Unparished Area</w:t>
            </w:r>
            <w:r w:rsidRPr="00D00BA8">
              <w:rPr>
                <w:rStyle w:val="Firstpagetablebold"/>
                <w:b w:val="0"/>
              </w:rPr>
              <w:tab/>
              <w:t>£3</w:t>
            </w:r>
            <w:r w:rsidR="00D72779">
              <w:rPr>
                <w:rStyle w:val="Firstpagetablebold"/>
                <w:b w:val="0"/>
              </w:rPr>
              <w:t>22.86</w:t>
            </w:r>
          </w:p>
          <w:p w:rsidR="00D00BA8" w:rsidRPr="00D00BA8" w:rsidRDefault="00D00BA8" w:rsidP="00D72779">
            <w:pPr>
              <w:rPr>
                <w:rStyle w:val="Firstpagetablebold"/>
                <w:b w:val="0"/>
              </w:rPr>
            </w:pPr>
            <w:r w:rsidRPr="00D00BA8">
              <w:rPr>
                <w:rStyle w:val="Firstpagetablebold"/>
                <w:b w:val="0"/>
              </w:rPr>
              <w:t>These figures include Parish Precepts and special expensing amounts as appropriate; in addition to the City-wide Council Tax of £30</w:t>
            </w:r>
            <w:r w:rsidR="00D72779">
              <w:rPr>
                <w:rStyle w:val="Firstpagetablebold"/>
                <w:b w:val="0"/>
              </w:rPr>
              <w:t>6.33</w:t>
            </w:r>
            <w:r w:rsidRPr="00D00BA8">
              <w:rPr>
                <w:rStyle w:val="Firstpagetablebold"/>
                <w:b w:val="0"/>
              </w:rPr>
              <w:t>.</w:t>
            </w:r>
          </w:p>
        </w:tc>
      </w:tr>
      <w:tr w:rsidR="00D00BA8" w:rsidRPr="00975B07" w:rsidTr="00D00BA8">
        <w:trPr>
          <w:trHeight w:val="283"/>
        </w:trPr>
        <w:tc>
          <w:tcPr>
            <w:tcW w:w="709" w:type="dxa"/>
            <w:tcBorders>
              <w:top w:val="nil"/>
              <w:left w:val="single" w:sz="8" w:space="0" w:color="000000"/>
              <w:bottom w:val="nil"/>
              <w:right w:val="nil"/>
            </w:tcBorders>
          </w:tcPr>
          <w:p w:rsidR="00D00BA8" w:rsidRPr="00975B07" w:rsidRDefault="00D00BA8" w:rsidP="004A6D2F"/>
        </w:tc>
        <w:tc>
          <w:tcPr>
            <w:tcW w:w="8136" w:type="dxa"/>
            <w:gridSpan w:val="2"/>
            <w:tcBorders>
              <w:top w:val="nil"/>
              <w:left w:val="nil"/>
              <w:bottom w:val="nil"/>
              <w:right w:val="single" w:sz="8" w:space="0" w:color="000000"/>
            </w:tcBorders>
            <w:shd w:val="clear" w:color="auto" w:fill="auto"/>
          </w:tcPr>
          <w:p w:rsidR="00D00BA8" w:rsidRPr="00D00BA8" w:rsidRDefault="00D00BA8" w:rsidP="002069B3">
            <w:pPr>
              <w:rPr>
                <w:rStyle w:val="Firstpagetablebold"/>
                <w:b w:val="0"/>
              </w:rPr>
            </w:pPr>
            <w:r w:rsidRPr="00D00BA8">
              <w:rPr>
                <w:rStyle w:val="Firstpagetablebold"/>
                <w:b w:val="0"/>
              </w:rPr>
              <w:t>The Council is also asked to note:</w:t>
            </w:r>
          </w:p>
        </w:tc>
      </w:tr>
      <w:tr w:rsidR="00232F5B" w:rsidRPr="00975B07" w:rsidTr="00D00BA8">
        <w:trPr>
          <w:trHeight w:val="283"/>
        </w:trPr>
        <w:tc>
          <w:tcPr>
            <w:tcW w:w="709" w:type="dxa"/>
            <w:tcBorders>
              <w:top w:val="nil"/>
              <w:left w:val="single" w:sz="8" w:space="0" w:color="000000"/>
              <w:bottom w:val="nil"/>
              <w:right w:val="nil"/>
            </w:tcBorders>
          </w:tcPr>
          <w:p w:rsidR="0030208D" w:rsidRPr="00975B07" w:rsidRDefault="00D00BA8" w:rsidP="004A6D2F">
            <w:r>
              <w:t>6.</w:t>
            </w:r>
          </w:p>
        </w:tc>
        <w:tc>
          <w:tcPr>
            <w:tcW w:w="8136" w:type="dxa"/>
            <w:gridSpan w:val="2"/>
            <w:tcBorders>
              <w:top w:val="nil"/>
              <w:left w:val="nil"/>
              <w:bottom w:val="nil"/>
              <w:right w:val="single" w:sz="8" w:space="0" w:color="000000"/>
            </w:tcBorders>
            <w:shd w:val="clear" w:color="auto" w:fill="auto"/>
          </w:tcPr>
          <w:p w:rsidR="0030208D" w:rsidRPr="00D00BA8" w:rsidRDefault="00D00BA8" w:rsidP="00A642B9">
            <w:r w:rsidRPr="00D00BA8">
              <w:t>Oxfordshire County Council’s precept and Band D Council Tax a</w:t>
            </w:r>
            <w:r w:rsidR="004D07BF">
              <w:t>s set out in paragraph 1</w:t>
            </w:r>
            <w:r w:rsidR="00A642B9">
              <w:t>7</w:t>
            </w:r>
            <w:r w:rsidR="004D07BF">
              <w:t xml:space="preserve"> below</w:t>
            </w:r>
          </w:p>
        </w:tc>
      </w:tr>
      <w:tr w:rsidR="00232F5B" w:rsidRPr="00975B07" w:rsidTr="00D00BA8">
        <w:trPr>
          <w:trHeight w:val="283"/>
        </w:trPr>
        <w:tc>
          <w:tcPr>
            <w:tcW w:w="709" w:type="dxa"/>
            <w:tcBorders>
              <w:top w:val="nil"/>
              <w:left w:val="single" w:sz="8" w:space="0" w:color="000000"/>
              <w:bottom w:val="nil"/>
              <w:right w:val="nil"/>
            </w:tcBorders>
          </w:tcPr>
          <w:p w:rsidR="0030208D" w:rsidRPr="00975B07" w:rsidRDefault="00D00BA8" w:rsidP="004A6D2F">
            <w:r>
              <w:t>7.</w:t>
            </w:r>
          </w:p>
        </w:tc>
        <w:tc>
          <w:tcPr>
            <w:tcW w:w="8136" w:type="dxa"/>
            <w:gridSpan w:val="2"/>
            <w:tcBorders>
              <w:top w:val="nil"/>
              <w:left w:val="nil"/>
              <w:bottom w:val="nil"/>
              <w:right w:val="single" w:sz="8" w:space="0" w:color="000000"/>
            </w:tcBorders>
            <w:shd w:val="clear" w:color="auto" w:fill="auto"/>
          </w:tcPr>
          <w:p w:rsidR="0030208D" w:rsidRPr="00D00BA8" w:rsidRDefault="00D00BA8" w:rsidP="00A642B9">
            <w:r w:rsidRPr="00D00BA8">
              <w:t>The Police and Crime Commissioner for the Thames Valley’s precept and Band D Council Tax as set out in paragraph 1</w:t>
            </w:r>
            <w:r w:rsidR="00A642B9">
              <w:t>8</w:t>
            </w:r>
            <w:r w:rsidRPr="00D00BA8">
              <w:t xml:space="preserve"> below, and</w:t>
            </w:r>
          </w:p>
        </w:tc>
      </w:tr>
      <w:tr w:rsidR="00232F5B" w:rsidRPr="00975B07" w:rsidTr="00D00BA8">
        <w:trPr>
          <w:trHeight w:val="283"/>
        </w:trPr>
        <w:tc>
          <w:tcPr>
            <w:tcW w:w="709" w:type="dxa"/>
            <w:tcBorders>
              <w:top w:val="nil"/>
              <w:left w:val="single" w:sz="8" w:space="0" w:color="000000"/>
              <w:bottom w:val="single" w:sz="8" w:space="0" w:color="000000"/>
              <w:right w:val="nil"/>
            </w:tcBorders>
          </w:tcPr>
          <w:p w:rsidR="0030208D" w:rsidRPr="00975B07" w:rsidRDefault="00D00BA8" w:rsidP="004A6D2F">
            <w:r>
              <w:t>8.</w:t>
            </w:r>
          </w:p>
        </w:tc>
        <w:tc>
          <w:tcPr>
            <w:tcW w:w="8136" w:type="dxa"/>
            <w:gridSpan w:val="2"/>
            <w:tcBorders>
              <w:top w:val="nil"/>
              <w:left w:val="nil"/>
              <w:bottom w:val="single" w:sz="8" w:space="0" w:color="000000"/>
              <w:right w:val="single" w:sz="8" w:space="0" w:color="000000"/>
            </w:tcBorders>
            <w:shd w:val="clear" w:color="auto" w:fill="auto"/>
          </w:tcPr>
          <w:p w:rsidR="0030208D" w:rsidRPr="00D00BA8" w:rsidRDefault="00D00BA8" w:rsidP="009905E7">
            <w:r w:rsidRPr="00D00BA8">
              <w:t>The overall average Band D equivalent Council Tax of £2,</w:t>
            </w:r>
            <w:r w:rsidR="00D72779">
              <w:t>1</w:t>
            </w:r>
            <w:r w:rsidR="009905E7">
              <w:t>30.64</w:t>
            </w:r>
            <w:r w:rsidRPr="00D00BA8">
              <w:t xml:space="preserve"> including Parish Precepts (subject to confirmation of the Band D figures for the County Council and Police and Crime Commissioner).</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59"/>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D00BA8">
        <w:tc>
          <w:tcPr>
            <w:tcW w:w="1985"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859" w:type="dxa"/>
            <w:tcBorders>
              <w:top w:val="single" w:sz="8" w:space="0" w:color="000000"/>
              <w:left w:val="nil"/>
              <w:bottom w:val="nil"/>
              <w:right w:val="single" w:sz="8" w:space="0" w:color="000000"/>
            </w:tcBorders>
          </w:tcPr>
          <w:p w:rsidR="00ED5860" w:rsidRPr="001356F1" w:rsidRDefault="00D00BA8" w:rsidP="00D00BA8">
            <w:r>
              <w:t>Statutory Calculations Required for Setting of the Council Tax</w:t>
            </w:r>
          </w:p>
        </w:tc>
      </w:tr>
      <w:tr w:rsidR="00ED5860" w:rsidRPr="00975B07" w:rsidTr="00D00BA8">
        <w:tc>
          <w:tcPr>
            <w:tcW w:w="1985"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859" w:type="dxa"/>
            <w:tcBorders>
              <w:top w:val="nil"/>
              <w:left w:val="nil"/>
              <w:bottom w:val="nil"/>
              <w:right w:val="single" w:sz="8" w:space="0" w:color="000000"/>
            </w:tcBorders>
          </w:tcPr>
          <w:p w:rsidR="00ED5860" w:rsidRPr="001356F1" w:rsidRDefault="00D00BA8" w:rsidP="00D72779">
            <w:r w:rsidRPr="00D00BA8">
              <w:t>Council Tax Amounts per Band 202</w:t>
            </w:r>
            <w:r w:rsidR="00D72779">
              <w:t>1/22</w:t>
            </w:r>
          </w:p>
        </w:tc>
      </w:tr>
      <w:tr w:rsidR="0030208D" w:rsidRPr="00975B07" w:rsidTr="00D00BA8">
        <w:tc>
          <w:tcPr>
            <w:tcW w:w="1985" w:type="dxa"/>
            <w:tcBorders>
              <w:top w:val="nil"/>
              <w:left w:val="single" w:sz="8" w:space="0" w:color="000000"/>
              <w:bottom w:val="single" w:sz="4" w:space="0" w:color="auto"/>
              <w:right w:val="nil"/>
            </w:tcBorders>
            <w:shd w:val="clear" w:color="auto" w:fill="auto"/>
          </w:tcPr>
          <w:p w:rsidR="0030208D" w:rsidRPr="00975B07" w:rsidRDefault="0030208D" w:rsidP="004A6D2F">
            <w:r w:rsidRPr="00975B07">
              <w:t>Appendix 3</w:t>
            </w:r>
          </w:p>
        </w:tc>
        <w:tc>
          <w:tcPr>
            <w:tcW w:w="6859" w:type="dxa"/>
            <w:tcBorders>
              <w:top w:val="nil"/>
              <w:left w:val="nil"/>
              <w:bottom w:val="single" w:sz="4" w:space="0" w:color="auto"/>
              <w:right w:val="single" w:sz="8" w:space="0" w:color="000000"/>
            </w:tcBorders>
          </w:tcPr>
          <w:p w:rsidR="0030208D" w:rsidRPr="001356F1" w:rsidRDefault="00D00BA8" w:rsidP="004A6D2F">
            <w:r w:rsidRPr="00D00BA8">
              <w:t>Risk Implications</w:t>
            </w:r>
          </w:p>
        </w:tc>
      </w:tr>
    </w:tbl>
    <w:p w:rsidR="00246846" w:rsidRDefault="00246846"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Default="00104E1F" w:rsidP="00246846">
      <w:pPr>
        <w:pStyle w:val="bParagraphtext"/>
      </w:pPr>
      <w:r w:rsidRPr="00104E1F">
        <w:t>The Localism Act, 2011 requires local authorities to calculate the amount of income to be collected from Council Tax based on the Band D charge multiplied by the Council’s Tax Base. The City Council’s calculation of this figure, the Council Tax Requirement, including the Parish Precepts is £14,</w:t>
      </w:r>
      <w:r w:rsidR="00D72779">
        <w:t>911,465</w:t>
      </w:r>
      <w:r w:rsidRPr="00104E1F">
        <w:t>. The Council Tax Requirement for the Council’s own purposes is £14,</w:t>
      </w:r>
      <w:r w:rsidR="00D72779">
        <w:t>633,631</w:t>
      </w:r>
      <w:r w:rsidRPr="00104E1F">
        <w:t>. The detailed calculation is shown in Appendix 1.</w:t>
      </w:r>
    </w:p>
    <w:p w:rsidR="00246846" w:rsidRPr="001356F1" w:rsidRDefault="00246846" w:rsidP="00246846"/>
    <w:p w:rsidR="00104E1F" w:rsidRDefault="00104E1F" w:rsidP="00104E1F">
      <w:pPr>
        <w:pStyle w:val="Heading1"/>
      </w:pPr>
      <w:r>
        <w:t xml:space="preserve">Calculation of basic amount of Council Tax </w:t>
      </w:r>
    </w:p>
    <w:p w:rsidR="00104E1F" w:rsidRDefault="00104E1F" w:rsidP="00104E1F">
      <w:pPr>
        <w:pStyle w:val="bParagraphtext"/>
      </w:pPr>
      <w:r>
        <w:t xml:space="preserve">The tax bases for the various parts of the City were approved by the Audit and Governance Committee on 14 January 2021 and </w:t>
      </w:r>
      <w:r w:rsidR="004D07BF">
        <w:t>totalled 45,</w:t>
      </w:r>
      <w:r w:rsidR="008174A8">
        <w:t>705.6</w:t>
      </w:r>
      <w:r w:rsidR="004D07BF">
        <w:t xml:space="preserve">. </w:t>
      </w:r>
      <w:r>
        <w:t xml:space="preserve">This allows 2% for non-collection. </w:t>
      </w:r>
    </w:p>
    <w:p w:rsidR="00104E1F" w:rsidRDefault="00104E1F" w:rsidP="00104E1F">
      <w:pPr>
        <w:pStyle w:val="bParagraphtext"/>
      </w:pPr>
      <w:r w:rsidRPr="00104E1F">
        <w:t xml:space="preserve">On </w:t>
      </w:r>
      <w:r w:rsidR="00600EBD">
        <w:t>4</w:t>
      </w:r>
      <w:r w:rsidR="00600EBD" w:rsidRPr="00600EBD">
        <w:rPr>
          <w:vertAlign w:val="superscript"/>
        </w:rPr>
        <w:t>th</w:t>
      </w:r>
      <w:r w:rsidR="00600EBD">
        <w:t xml:space="preserve"> February</w:t>
      </w:r>
      <w:r w:rsidRPr="00104E1F">
        <w:t xml:space="preserve"> the </w:t>
      </w:r>
      <w:r w:rsidR="00600EBD" w:rsidRPr="00104E1F">
        <w:t xml:space="preserve">Secretary of State for the Ministry for Housing, Communities and Local Government </w:t>
      </w:r>
      <w:r w:rsidR="00600EBD">
        <w:t>published the Final Finance</w:t>
      </w:r>
      <w:r w:rsidRPr="00104E1F">
        <w:t xml:space="preserve"> Settlement</w:t>
      </w:r>
      <w:r w:rsidR="00600EBD">
        <w:t>, confirming much of what was published in the consultation document on 17</w:t>
      </w:r>
      <w:r w:rsidR="00600EBD" w:rsidRPr="00600EBD">
        <w:rPr>
          <w:vertAlign w:val="superscript"/>
        </w:rPr>
        <w:t>th</w:t>
      </w:r>
      <w:r w:rsidR="00600EBD">
        <w:t xml:space="preserve"> December 2020.</w:t>
      </w:r>
      <w:r w:rsidRPr="00104E1F">
        <w:t xml:space="preserve"> As previously announced</w:t>
      </w:r>
      <w:r w:rsidR="008174A8">
        <w:t xml:space="preserve"> in the</w:t>
      </w:r>
      <w:r w:rsidRPr="00104E1F">
        <w:t xml:space="preserve"> Spending R</w:t>
      </w:r>
      <w:r w:rsidR="008174A8">
        <w:t>eview 2020 (SR20)</w:t>
      </w:r>
      <w:r w:rsidRPr="00104E1F">
        <w:t xml:space="preserve">, the council tax referendum limit will be 2%.Social Care authorities are in addition allowed a </w:t>
      </w:r>
      <w:r w:rsidR="008174A8">
        <w:t>3</w:t>
      </w:r>
      <w:r w:rsidRPr="00104E1F">
        <w:t>% social care precept. The provisional settlement confirmed districts will be allowed to apply the higher of the referendum limit or £5.</w:t>
      </w:r>
    </w:p>
    <w:p w:rsidR="00104E1F" w:rsidRDefault="00104E1F" w:rsidP="00104E1F">
      <w:pPr>
        <w:pStyle w:val="bParagraphtext"/>
      </w:pPr>
      <w:r>
        <w:t>The Basic Amount of Tax is calculated in accordance with Section 31B of the Loca</w:t>
      </w:r>
      <w:r w:rsidR="004D07BF">
        <w:t xml:space="preserve">l Government Finance Act 1992. </w:t>
      </w:r>
      <w:r>
        <w:t>Details are shown in Appendix 1 and summarised in Table 1 below.</w:t>
      </w:r>
    </w:p>
    <w:p w:rsidR="00246846" w:rsidRDefault="00246846" w:rsidP="00D95A35"/>
    <w:p w:rsidR="00104E1F" w:rsidRDefault="00104E1F" w:rsidP="00BF43ED">
      <w:pPr>
        <w:ind w:left="720"/>
        <w:rPr>
          <w:b/>
        </w:rPr>
      </w:pPr>
      <w:r w:rsidRPr="00BF43ED">
        <w:rPr>
          <w:b/>
        </w:rPr>
        <w:lastRenderedPageBreak/>
        <w:t>Table 1 Basic amount of Band D Council Tax 202</w:t>
      </w:r>
      <w:r w:rsidR="008174A8">
        <w:rPr>
          <w:b/>
        </w:rPr>
        <w:t>1/22</w:t>
      </w:r>
    </w:p>
    <w:p w:rsidR="00BF43ED" w:rsidRPr="00BF43ED" w:rsidRDefault="00BF43ED" w:rsidP="00D95A35"/>
    <w:tbl>
      <w:tblPr>
        <w:tblW w:w="6334" w:type="dxa"/>
        <w:tblInd w:w="1016" w:type="dxa"/>
        <w:tblLook w:val="0000" w:firstRow="0" w:lastRow="0" w:firstColumn="0" w:lastColumn="0" w:noHBand="0" w:noVBand="0"/>
      </w:tblPr>
      <w:tblGrid>
        <w:gridCol w:w="3924"/>
        <w:gridCol w:w="2410"/>
      </w:tblGrid>
      <w:tr w:rsidR="00216753" w:rsidRPr="00216753" w:rsidTr="00BF43ED">
        <w:trPr>
          <w:trHeight w:val="694"/>
        </w:trPr>
        <w:tc>
          <w:tcPr>
            <w:tcW w:w="3924" w:type="dxa"/>
            <w:tcBorders>
              <w:top w:val="nil"/>
              <w:left w:val="single" w:sz="8" w:space="0" w:color="auto"/>
              <w:bottom w:val="nil"/>
              <w:right w:val="nil"/>
            </w:tcBorders>
            <w:shd w:val="clear" w:color="auto" w:fill="auto"/>
            <w:noWrap/>
          </w:tcPr>
          <w:p w:rsidR="00216753" w:rsidRPr="00216753" w:rsidRDefault="00216753" w:rsidP="004D7FE2">
            <w:pPr>
              <w:tabs>
                <w:tab w:val="left" w:pos="1134"/>
              </w:tabs>
              <w:rPr>
                <w:rFonts w:cs="Arial"/>
                <w:b/>
              </w:rPr>
            </w:pPr>
            <w:r w:rsidRPr="00216753">
              <w:rPr>
                <w:rFonts w:cs="Arial"/>
                <w:b/>
              </w:rPr>
              <w:t>Requirement from Council Tax</w:t>
            </w:r>
          </w:p>
        </w:tc>
        <w:tc>
          <w:tcPr>
            <w:tcW w:w="2410" w:type="dxa"/>
            <w:tcBorders>
              <w:top w:val="nil"/>
              <w:left w:val="nil"/>
              <w:bottom w:val="nil"/>
              <w:right w:val="single" w:sz="8" w:space="0" w:color="auto"/>
            </w:tcBorders>
            <w:shd w:val="clear" w:color="auto" w:fill="auto"/>
            <w:noWrap/>
          </w:tcPr>
          <w:p w:rsidR="00216753" w:rsidRPr="00216753" w:rsidRDefault="00216753" w:rsidP="008174A8">
            <w:pPr>
              <w:tabs>
                <w:tab w:val="left" w:pos="1134"/>
              </w:tabs>
              <w:jc w:val="right"/>
              <w:rPr>
                <w:rFonts w:cs="Arial"/>
              </w:rPr>
            </w:pPr>
            <w:r w:rsidRPr="00216753">
              <w:rPr>
                <w:rFonts w:cs="Arial"/>
              </w:rPr>
              <w:t>£14,</w:t>
            </w:r>
            <w:r w:rsidR="008174A8">
              <w:rPr>
                <w:rFonts w:cs="Arial"/>
              </w:rPr>
              <w:t>633,631</w:t>
            </w:r>
          </w:p>
        </w:tc>
      </w:tr>
      <w:tr w:rsidR="00216753" w:rsidRPr="00216753" w:rsidTr="00BF43ED">
        <w:trPr>
          <w:trHeight w:val="705"/>
        </w:trPr>
        <w:tc>
          <w:tcPr>
            <w:tcW w:w="3924" w:type="dxa"/>
            <w:tcBorders>
              <w:top w:val="nil"/>
              <w:left w:val="single" w:sz="8" w:space="0" w:color="auto"/>
              <w:bottom w:val="nil"/>
              <w:right w:val="nil"/>
            </w:tcBorders>
            <w:shd w:val="clear" w:color="auto" w:fill="auto"/>
            <w:noWrap/>
          </w:tcPr>
          <w:p w:rsidR="00216753" w:rsidRPr="00216753" w:rsidRDefault="00216753" w:rsidP="004D7FE2">
            <w:pPr>
              <w:tabs>
                <w:tab w:val="left" w:pos="1134"/>
              </w:tabs>
              <w:rPr>
                <w:rFonts w:cs="Arial"/>
              </w:rPr>
            </w:pPr>
            <w:r w:rsidRPr="00216753">
              <w:rPr>
                <w:rFonts w:cs="Arial"/>
                <w:i/>
                <w:iCs/>
              </w:rPr>
              <w:t>(including Parishes)</w:t>
            </w:r>
          </w:p>
        </w:tc>
        <w:tc>
          <w:tcPr>
            <w:tcW w:w="2410" w:type="dxa"/>
            <w:tcBorders>
              <w:top w:val="nil"/>
              <w:left w:val="nil"/>
              <w:bottom w:val="nil"/>
              <w:right w:val="single" w:sz="8" w:space="0" w:color="auto"/>
            </w:tcBorders>
            <w:shd w:val="clear" w:color="auto" w:fill="auto"/>
            <w:noWrap/>
          </w:tcPr>
          <w:p w:rsidR="00216753" w:rsidRPr="00216753" w:rsidRDefault="00216753" w:rsidP="008174A8">
            <w:pPr>
              <w:tabs>
                <w:tab w:val="left" w:pos="1134"/>
              </w:tabs>
              <w:jc w:val="right"/>
              <w:rPr>
                <w:rFonts w:cs="Arial"/>
              </w:rPr>
            </w:pPr>
            <w:r w:rsidRPr="00216753">
              <w:rPr>
                <w:rFonts w:cs="Arial"/>
              </w:rPr>
              <w:t>£14,</w:t>
            </w:r>
            <w:r w:rsidR="008174A8">
              <w:rPr>
                <w:rFonts w:cs="Arial"/>
              </w:rPr>
              <w:t>911,465</w:t>
            </w:r>
          </w:p>
        </w:tc>
      </w:tr>
      <w:tr w:rsidR="00216753" w:rsidRPr="00216753" w:rsidTr="00BF43ED">
        <w:trPr>
          <w:trHeight w:val="701"/>
        </w:trPr>
        <w:tc>
          <w:tcPr>
            <w:tcW w:w="3924" w:type="dxa"/>
            <w:tcBorders>
              <w:top w:val="nil"/>
              <w:left w:val="single" w:sz="8" w:space="0" w:color="auto"/>
              <w:bottom w:val="nil"/>
              <w:right w:val="nil"/>
            </w:tcBorders>
            <w:shd w:val="clear" w:color="auto" w:fill="auto"/>
            <w:noWrap/>
          </w:tcPr>
          <w:p w:rsidR="00216753" w:rsidRPr="00216753" w:rsidRDefault="00216753" w:rsidP="004D7FE2">
            <w:pPr>
              <w:tabs>
                <w:tab w:val="left" w:pos="1134"/>
              </w:tabs>
              <w:rPr>
                <w:rFonts w:cs="Arial"/>
              </w:rPr>
            </w:pPr>
            <w:r w:rsidRPr="00216753">
              <w:rPr>
                <w:rFonts w:cs="Arial"/>
              </w:rPr>
              <w:t>Tax Base</w:t>
            </w:r>
          </w:p>
        </w:tc>
        <w:tc>
          <w:tcPr>
            <w:tcW w:w="2410" w:type="dxa"/>
            <w:tcBorders>
              <w:top w:val="nil"/>
              <w:left w:val="nil"/>
              <w:bottom w:val="nil"/>
              <w:right w:val="single" w:sz="8" w:space="0" w:color="auto"/>
            </w:tcBorders>
            <w:shd w:val="clear" w:color="auto" w:fill="auto"/>
            <w:noWrap/>
          </w:tcPr>
          <w:p w:rsidR="00216753" w:rsidRPr="00216753" w:rsidRDefault="00216753" w:rsidP="008174A8">
            <w:pPr>
              <w:tabs>
                <w:tab w:val="left" w:pos="1134"/>
              </w:tabs>
              <w:jc w:val="right"/>
              <w:rPr>
                <w:rFonts w:cs="Arial"/>
              </w:rPr>
            </w:pPr>
            <w:r w:rsidRPr="00216753">
              <w:rPr>
                <w:rFonts w:cs="Arial"/>
              </w:rPr>
              <w:t>45,</w:t>
            </w:r>
            <w:r w:rsidR="008174A8">
              <w:rPr>
                <w:rFonts w:cs="Arial"/>
              </w:rPr>
              <w:t>705.6</w:t>
            </w:r>
          </w:p>
        </w:tc>
      </w:tr>
      <w:tr w:rsidR="00216753" w:rsidRPr="00216753" w:rsidTr="00BF43ED">
        <w:trPr>
          <w:trHeight w:val="255"/>
        </w:trPr>
        <w:tc>
          <w:tcPr>
            <w:tcW w:w="3924" w:type="dxa"/>
            <w:tcBorders>
              <w:top w:val="nil"/>
              <w:left w:val="single" w:sz="8" w:space="0" w:color="auto"/>
              <w:bottom w:val="nil"/>
              <w:right w:val="nil"/>
            </w:tcBorders>
            <w:shd w:val="clear" w:color="auto" w:fill="auto"/>
            <w:noWrap/>
          </w:tcPr>
          <w:p w:rsidR="00216753" w:rsidRPr="00216753" w:rsidRDefault="00216753" w:rsidP="004D7FE2">
            <w:pPr>
              <w:tabs>
                <w:tab w:val="left" w:pos="1134"/>
              </w:tabs>
              <w:rPr>
                <w:rFonts w:cs="Arial"/>
                <w:b/>
              </w:rPr>
            </w:pPr>
            <w:r w:rsidRPr="00216753">
              <w:rPr>
                <w:rFonts w:cs="Arial"/>
                <w:b/>
              </w:rPr>
              <w:t>Basic Amount of Council Tax Band D</w:t>
            </w:r>
          </w:p>
        </w:tc>
        <w:tc>
          <w:tcPr>
            <w:tcW w:w="2410" w:type="dxa"/>
            <w:tcBorders>
              <w:top w:val="nil"/>
              <w:left w:val="nil"/>
              <w:bottom w:val="nil"/>
              <w:right w:val="single" w:sz="8" w:space="0" w:color="auto"/>
            </w:tcBorders>
            <w:shd w:val="clear" w:color="auto" w:fill="auto"/>
            <w:noWrap/>
          </w:tcPr>
          <w:p w:rsidR="00216753" w:rsidRPr="00216753" w:rsidRDefault="00216753" w:rsidP="008174A8">
            <w:pPr>
              <w:tabs>
                <w:tab w:val="left" w:pos="1134"/>
              </w:tabs>
              <w:jc w:val="right"/>
              <w:rPr>
                <w:rFonts w:cs="Arial"/>
              </w:rPr>
            </w:pPr>
            <w:r w:rsidRPr="00216753">
              <w:rPr>
                <w:rFonts w:cs="Arial"/>
              </w:rPr>
              <w:t>£3</w:t>
            </w:r>
            <w:r w:rsidR="008174A8">
              <w:rPr>
                <w:rFonts w:cs="Arial"/>
              </w:rPr>
              <w:t>20.17</w:t>
            </w:r>
          </w:p>
        </w:tc>
      </w:tr>
      <w:tr w:rsidR="00216753" w:rsidRPr="00216753" w:rsidTr="00BF43ED">
        <w:trPr>
          <w:trHeight w:val="270"/>
        </w:trPr>
        <w:tc>
          <w:tcPr>
            <w:tcW w:w="3924" w:type="dxa"/>
            <w:tcBorders>
              <w:top w:val="nil"/>
              <w:left w:val="single" w:sz="8" w:space="0" w:color="auto"/>
              <w:bottom w:val="single" w:sz="8" w:space="0" w:color="auto"/>
              <w:right w:val="nil"/>
            </w:tcBorders>
            <w:shd w:val="clear" w:color="auto" w:fill="auto"/>
            <w:noWrap/>
          </w:tcPr>
          <w:p w:rsidR="00216753" w:rsidRPr="00216753" w:rsidRDefault="00216753" w:rsidP="004D7FE2">
            <w:pPr>
              <w:tabs>
                <w:tab w:val="left" w:pos="1134"/>
              </w:tabs>
              <w:rPr>
                <w:rFonts w:cs="Arial"/>
                <w:i/>
                <w:iCs/>
              </w:rPr>
            </w:pPr>
            <w:r w:rsidRPr="00216753">
              <w:rPr>
                <w:rFonts w:cs="Arial"/>
                <w:i/>
                <w:iCs/>
              </w:rPr>
              <w:t>(including Parishes)</w:t>
            </w:r>
          </w:p>
        </w:tc>
        <w:tc>
          <w:tcPr>
            <w:tcW w:w="2410" w:type="dxa"/>
            <w:tcBorders>
              <w:top w:val="nil"/>
              <w:left w:val="nil"/>
              <w:bottom w:val="single" w:sz="8" w:space="0" w:color="auto"/>
              <w:right w:val="single" w:sz="8" w:space="0" w:color="auto"/>
            </w:tcBorders>
            <w:shd w:val="clear" w:color="auto" w:fill="auto"/>
            <w:noWrap/>
          </w:tcPr>
          <w:p w:rsidR="00216753" w:rsidRPr="00216753" w:rsidRDefault="00216753" w:rsidP="008174A8">
            <w:pPr>
              <w:tabs>
                <w:tab w:val="left" w:pos="1134"/>
              </w:tabs>
              <w:jc w:val="right"/>
              <w:rPr>
                <w:rFonts w:cs="Arial"/>
              </w:rPr>
            </w:pPr>
            <w:r w:rsidRPr="00216753">
              <w:rPr>
                <w:rFonts w:cs="Arial"/>
              </w:rPr>
              <w:t>£3</w:t>
            </w:r>
            <w:r w:rsidR="008174A8">
              <w:rPr>
                <w:rFonts w:cs="Arial"/>
              </w:rPr>
              <w:t>26.25</w:t>
            </w:r>
          </w:p>
        </w:tc>
      </w:tr>
    </w:tbl>
    <w:p w:rsidR="00216753" w:rsidRDefault="00216753" w:rsidP="00BF43ED"/>
    <w:p w:rsidR="00104E1F" w:rsidRDefault="00104E1F" w:rsidP="00104E1F">
      <w:pPr>
        <w:pStyle w:val="bParagraphtext"/>
      </w:pPr>
      <w:r>
        <w:t>The Basic Amount of Council Tax (excluding Parish precepts) represents a 1.99% increase on the 20</w:t>
      </w:r>
      <w:r w:rsidR="008174A8">
        <w:t>20/21</w:t>
      </w:r>
      <w:r>
        <w:t xml:space="preserve"> figure of £3</w:t>
      </w:r>
      <w:r w:rsidR="008174A8">
        <w:t>13.92</w:t>
      </w:r>
      <w:r>
        <w:t xml:space="preserve"> and an annual increase of £6.</w:t>
      </w:r>
      <w:r w:rsidR="008174A8">
        <w:t>25</w:t>
      </w:r>
      <w:r>
        <w:t xml:space="preserve"> or approximately 12p per week. </w:t>
      </w:r>
    </w:p>
    <w:p w:rsidR="00104E1F" w:rsidRDefault="00104E1F" w:rsidP="00104E1F">
      <w:pPr>
        <w:pStyle w:val="bParagraphtext"/>
      </w:pPr>
      <w:r>
        <w:t>The Basic Amount of Council Tax is calculated by dividing the Council Tax Requirement by the Tax Base. This amount of tax is calculated purely to comply with statutory requirements.</w:t>
      </w:r>
    </w:p>
    <w:p w:rsidR="00104E1F" w:rsidRDefault="00104E1F" w:rsidP="00BF43ED"/>
    <w:p w:rsidR="00104E1F" w:rsidRDefault="00104E1F" w:rsidP="001252B6">
      <w:pPr>
        <w:pStyle w:val="Heading1"/>
      </w:pPr>
      <w:r>
        <w:t>Calculation of actual amounts of Council Tax</w:t>
      </w:r>
    </w:p>
    <w:p w:rsidR="00104E1F" w:rsidRDefault="00104E1F" w:rsidP="004D7FE2">
      <w:pPr>
        <w:pStyle w:val="bParagraphtext"/>
      </w:pPr>
      <w:r>
        <w:t>The calculation of the City Wide T</w:t>
      </w:r>
      <w:r w:rsidR="004D7FE2">
        <w:t>ax is set out in Table 2 below. The City Wide Tax is payable by all dwellings throughout the authority’s area.</w:t>
      </w:r>
    </w:p>
    <w:p w:rsidR="004D7FE2" w:rsidRDefault="004D7FE2" w:rsidP="00BF43ED"/>
    <w:p w:rsidR="004D7FE2" w:rsidRDefault="004D7FE2" w:rsidP="00BF43ED">
      <w:pPr>
        <w:ind w:left="720"/>
        <w:rPr>
          <w:b/>
        </w:rPr>
      </w:pPr>
      <w:r w:rsidRPr="00BF43ED">
        <w:rPr>
          <w:b/>
        </w:rPr>
        <w:t>Table 2 City Wide Band D Council Tax 202</w:t>
      </w:r>
      <w:r w:rsidR="008174A8">
        <w:rPr>
          <w:b/>
        </w:rPr>
        <w:t>1/22</w:t>
      </w:r>
    </w:p>
    <w:p w:rsidR="00BF43ED" w:rsidRPr="00BF43ED" w:rsidRDefault="00BF43ED" w:rsidP="00BF43ED"/>
    <w:tbl>
      <w:tblPr>
        <w:tblW w:w="6378" w:type="dxa"/>
        <w:tblInd w:w="9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0"/>
        <w:gridCol w:w="2318"/>
      </w:tblGrid>
      <w:tr w:rsidR="00BF43ED" w:rsidRPr="00BF43ED" w:rsidTr="00BF43ED">
        <w:trPr>
          <w:trHeight w:val="583"/>
        </w:trPr>
        <w:tc>
          <w:tcPr>
            <w:tcW w:w="4060" w:type="dxa"/>
            <w:shd w:val="clear" w:color="auto" w:fill="auto"/>
            <w:noWrap/>
          </w:tcPr>
          <w:p w:rsidR="00BF43ED" w:rsidRPr="00BF43ED" w:rsidRDefault="00BF43ED" w:rsidP="00BF43ED">
            <w:pPr>
              <w:rPr>
                <w:rFonts w:cs="Arial"/>
              </w:rPr>
            </w:pPr>
            <w:r w:rsidRPr="00BF43ED">
              <w:rPr>
                <w:rFonts w:cs="Arial"/>
              </w:rPr>
              <w:t>Council Tax Requirement</w:t>
            </w:r>
          </w:p>
        </w:tc>
        <w:tc>
          <w:tcPr>
            <w:tcW w:w="2318" w:type="dxa"/>
            <w:shd w:val="clear" w:color="auto" w:fill="auto"/>
            <w:noWrap/>
          </w:tcPr>
          <w:p w:rsidR="00BF43ED" w:rsidRPr="00BF43ED" w:rsidRDefault="00BF43ED" w:rsidP="008174A8">
            <w:pPr>
              <w:jc w:val="right"/>
              <w:rPr>
                <w:rFonts w:cs="Arial"/>
              </w:rPr>
            </w:pPr>
            <w:r w:rsidRPr="00BF43ED">
              <w:rPr>
                <w:rFonts w:cs="Arial"/>
              </w:rPr>
              <w:t>£14,</w:t>
            </w:r>
            <w:r w:rsidR="008174A8">
              <w:rPr>
                <w:rFonts w:cs="Arial"/>
              </w:rPr>
              <w:t>911,465</w:t>
            </w:r>
          </w:p>
        </w:tc>
      </w:tr>
      <w:tr w:rsidR="00BF43ED" w:rsidRPr="00BF43ED" w:rsidTr="00BF43ED">
        <w:trPr>
          <w:trHeight w:val="558"/>
        </w:trPr>
        <w:tc>
          <w:tcPr>
            <w:tcW w:w="4060" w:type="dxa"/>
            <w:shd w:val="clear" w:color="auto" w:fill="auto"/>
            <w:noWrap/>
          </w:tcPr>
          <w:p w:rsidR="00BF43ED" w:rsidRPr="00BF43ED" w:rsidRDefault="00BF43ED" w:rsidP="00BF43ED">
            <w:pPr>
              <w:rPr>
                <w:rFonts w:cs="Arial"/>
              </w:rPr>
            </w:pPr>
            <w:r w:rsidRPr="00BF43ED">
              <w:rPr>
                <w:rFonts w:cs="Arial"/>
              </w:rPr>
              <w:t>Less Parish Precepts</w:t>
            </w:r>
          </w:p>
        </w:tc>
        <w:tc>
          <w:tcPr>
            <w:tcW w:w="2318" w:type="dxa"/>
            <w:shd w:val="clear" w:color="auto" w:fill="auto"/>
            <w:noWrap/>
          </w:tcPr>
          <w:p w:rsidR="00BF43ED" w:rsidRPr="00BF43ED" w:rsidRDefault="00BF43ED" w:rsidP="008174A8">
            <w:pPr>
              <w:jc w:val="right"/>
              <w:rPr>
                <w:rFonts w:cs="Arial"/>
                <w:i/>
              </w:rPr>
            </w:pPr>
            <w:r>
              <w:rPr>
                <w:rFonts w:cs="Arial"/>
                <w:i/>
              </w:rPr>
              <w:t xml:space="preserve">(-) </w:t>
            </w:r>
            <w:r w:rsidRPr="00BF43ED">
              <w:rPr>
                <w:rFonts w:cs="Arial"/>
                <w:i/>
              </w:rPr>
              <w:t>£27</w:t>
            </w:r>
            <w:r w:rsidR="008174A8">
              <w:rPr>
                <w:rFonts w:cs="Arial"/>
                <w:i/>
              </w:rPr>
              <w:t>7,834</w:t>
            </w:r>
          </w:p>
        </w:tc>
      </w:tr>
      <w:tr w:rsidR="004D7FE2" w:rsidRPr="00BF43ED" w:rsidTr="00BF43ED">
        <w:trPr>
          <w:trHeight w:val="842"/>
        </w:trPr>
        <w:tc>
          <w:tcPr>
            <w:tcW w:w="4060" w:type="dxa"/>
            <w:shd w:val="clear" w:color="auto" w:fill="auto"/>
            <w:noWrap/>
          </w:tcPr>
          <w:p w:rsidR="00BF43ED" w:rsidRDefault="004D7FE2" w:rsidP="00BF43ED">
            <w:pPr>
              <w:rPr>
                <w:rFonts w:cs="Arial"/>
              </w:rPr>
            </w:pPr>
            <w:r w:rsidRPr="00BF43ED">
              <w:rPr>
                <w:rFonts w:cs="Arial"/>
              </w:rPr>
              <w:t>Less Special Expenses</w:t>
            </w:r>
          </w:p>
          <w:p w:rsidR="004D7FE2" w:rsidRPr="00BF43ED" w:rsidRDefault="004D7FE2" w:rsidP="00BF43ED">
            <w:pPr>
              <w:rPr>
                <w:rFonts w:cs="Arial"/>
              </w:rPr>
            </w:pPr>
            <w:r w:rsidRPr="00BF43ED">
              <w:rPr>
                <w:rFonts w:cs="Arial"/>
              </w:rPr>
              <w:t>(see para 13)</w:t>
            </w:r>
          </w:p>
        </w:tc>
        <w:tc>
          <w:tcPr>
            <w:tcW w:w="2318" w:type="dxa"/>
            <w:shd w:val="clear" w:color="auto" w:fill="auto"/>
            <w:noWrap/>
          </w:tcPr>
          <w:p w:rsidR="004D7FE2" w:rsidRPr="00BF43ED" w:rsidRDefault="00BF43ED" w:rsidP="008F52F7">
            <w:pPr>
              <w:jc w:val="right"/>
              <w:rPr>
                <w:rFonts w:cs="Arial"/>
              </w:rPr>
            </w:pPr>
            <w:r>
              <w:rPr>
                <w:rFonts w:cs="Arial"/>
              </w:rPr>
              <w:t xml:space="preserve">(-) </w:t>
            </w:r>
            <w:r w:rsidR="004D7FE2" w:rsidRPr="00BF43ED">
              <w:rPr>
                <w:rFonts w:cs="Arial"/>
                <w:i/>
              </w:rPr>
              <w:t>£6</w:t>
            </w:r>
            <w:r w:rsidR="008174A8">
              <w:rPr>
                <w:rFonts w:cs="Arial"/>
                <w:i/>
              </w:rPr>
              <w:t>32,</w:t>
            </w:r>
            <w:r w:rsidR="008F52F7">
              <w:rPr>
                <w:rFonts w:cs="Arial"/>
                <w:i/>
              </w:rPr>
              <w:t>8</w:t>
            </w:r>
            <w:r w:rsidR="008174A8">
              <w:rPr>
                <w:rFonts w:cs="Arial"/>
                <w:i/>
              </w:rPr>
              <w:t>59</w:t>
            </w:r>
          </w:p>
        </w:tc>
      </w:tr>
      <w:tr w:rsidR="00BF43ED" w:rsidRPr="00BF43ED" w:rsidTr="00BF43ED">
        <w:trPr>
          <w:trHeight w:val="597"/>
        </w:trPr>
        <w:tc>
          <w:tcPr>
            <w:tcW w:w="4060" w:type="dxa"/>
            <w:shd w:val="clear" w:color="auto" w:fill="auto"/>
            <w:noWrap/>
          </w:tcPr>
          <w:p w:rsidR="00BF43ED" w:rsidRPr="00BF43ED" w:rsidRDefault="00BF43ED" w:rsidP="00BF43ED">
            <w:pPr>
              <w:rPr>
                <w:rFonts w:cs="Arial"/>
              </w:rPr>
            </w:pPr>
            <w:r w:rsidRPr="00BF43ED">
              <w:rPr>
                <w:rFonts w:cs="Arial"/>
                <w:b/>
                <w:bCs/>
              </w:rPr>
              <w:t>City Wide Requirement</w:t>
            </w:r>
          </w:p>
        </w:tc>
        <w:tc>
          <w:tcPr>
            <w:tcW w:w="2318" w:type="dxa"/>
            <w:shd w:val="clear" w:color="auto" w:fill="auto"/>
            <w:noWrap/>
          </w:tcPr>
          <w:p w:rsidR="00BF43ED" w:rsidRPr="00BF43ED" w:rsidRDefault="00BF43ED" w:rsidP="008F52F7">
            <w:pPr>
              <w:jc w:val="right"/>
              <w:rPr>
                <w:rFonts w:cs="Arial"/>
                <w:b/>
              </w:rPr>
            </w:pPr>
            <w:r w:rsidRPr="00BF43ED">
              <w:rPr>
                <w:rFonts w:cs="Arial"/>
                <w:b/>
              </w:rPr>
              <w:t>£1</w:t>
            </w:r>
            <w:r w:rsidR="008F52F7">
              <w:rPr>
                <w:rFonts w:cs="Arial"/>
                <w:b/>
              </w:rPr>
              <w:t>4</w:t>
            </w:r>
            <w:r w:rsidRPr="00BF43ED">
              <w:rPr>
                <w:rFonts w:cs="Arial"/>
                <w:b/>
              </w:rPr>
              <w:t>,</w:t>
            </w:r>
            <w:r w:rsidR="008F52F7">
              <w:rPr>
                <w:rFonts w:cs="Arial"/>
                <w:b/>
              </w:rPr>
              <w:t>000</w:t>
            </w:r>
            <w:r w:rsidRPr="00BF43ED">
              <w:rPr>
                <w:rFonts w:cs="Arial"/>
                <w:b/>
              </w:rPr>
              <w:t>,</w:t>
            </w:r>
            <w:r w:rsidR="008F52F7">
              <w:rPr>
                <w:rFonts w:cs="Arial"/>
                <w:b/>
              </w:rPr>
              <w:t>772</w:t>
            </w:r>
          </w:p>
        </w:tc>
      </w:tr>
      <w:tr w:rsidR="00BF43ED" w:rsidRPr="00BF43ED" w:rsidTr="00BF43ED">
        <w:trPr>
          <w:trHeight w:val="537"/>
        </w:trPr>
        <w:tc>
          <w:tcPr>
            <w:tcW w:w="4060" w:type="dxa"/>
            <w:shd w:val="clear" w:color="auto" w:fill="auto"/>
            <w:noWrap/>
          </w:tcPr>
          <w:p w:rsidR="00BF43ED" w:rsidRPr="00BF43ED" w:rsidRDefault="00BF43ED" w:rsidP="00BF43ED">
            <w:pPr>
              <w:rPr>
                <w:rFonts w:cs="Arial"/>
              </w:rPr>
            </w:pPr>
            <w:r w:rsidRPr="00BF43ED">
              <w:rPr>
                <w:rFonts w:cs="Arial"/>
              </w:rPr>
              <w:t>Divided by Tax Base</w:t>
            </w:r>
          </w:p>
        </w:tc>
        <w:tc>
          <w:tcPr>
            <w:tcW w:w="2318" w:type="dxa"/>
            <w:shd w:val="clear" w:color="auto" w:fill="auto"/>
            <w:noWrap/>
          </w:tcPr>
          <w:p w:rsidR="00BF43ED" w:rsidRPr="00BF43ED" w:rsidRDefault="00BF43ED" w:rsidP="008F52F7">
            <w:pPr>
              <w:jc w:val="right"/>
              <w:rPr>
                <w:rFonts w:cs="Arial"/>
              </w:rPr>
            </w:pPr>
            <w:r w:rsidRPr="00BF43ED">
              <w:rPr>
                <w:rFonts w:cs="Arial"/>
              </w:rPr>
              <w:t>45,</w:t>
            </w:r>
            <w:r w:rsidR="008F52F7">
              <w:rPr>
                <w:rFonts w:cs="Arial"/>
              </w:rPr>
              <w:t>705.6</w:t>
            </w:r>
          </w:p>
        </w:tc>
      </w:tr>
      <w:tr w:rsidR="00BF43ED" w:rsidRPr="00BF43ED" w:rsidTr="00BF43ED">
        <w:trPr>
          <w:trHeight w:val="270"/>
        </w:trPr>
        <w:tc>
          <w:tcPr>
            <w:tcW w:w="4060" w:type="dxa"/>
            <w:shd w:val="clear" w:color="auto" w:fill="auto"/>
            <w:noWrap/>
          </w:tcPr>
          <w:p w:rsidR="00BF43ED" w:rsidRPr="00BF43ED" w:rsidRDefault="00BF43ED" w:rsidP="00BF43ED">
            <w:pPr>
              <w:rPr>
                <w:rFonts w:cs="Arial"/>
                <w:b/>
                <w:bCs/>
              </w:rPr>
            </w:pPr>
            <w:r w:rsidRPr="00BF43ED">
              <w:rPr>
                <w:rFonts w:cs="Arial"/>
                <w:b/>
                <w:bCs/>
              </w:rPr>
              <w:t>City Wide Council Tax at Band D</w:t>
            </w:r>
          </w:p>
        </w:tc>
        <w:tc>
          <w:tcPr>
            <w:tcW w:w="2318" w:type="dxa"/>
            <w:shd w:val="clear" w:color="auto" w:fill="auto"/>
            <w:noWrap/>
          </w:tcPr>
          <w:p w:rsidR="00BF43ED" w:rsidRPr="00BF43ED" w:rsidRDefault="00BF43ED" w:rsidP="008F52F7">
            <w:pPr>
              <w:jc w:val="right"/>
              <w:rPr>
                <w:rFonts w:cs="Arial"/>
                <w:b/>
              </w:rPr>
            </w:pPr>
            <w:r w:rsidRPr="00BF43ED">
              <w:rPr>
                <w:rFonts w:cs="Arial"/>
                <w:b/>
              </w:rPr>
              <w:t>£30</w:t>
            </w:r>
            <w:r w:rsidR="008F52F7">
              <w:rPr>
                <w:rFonts w:cs="Arial"/>
                <w:b/>
              </w:rPr>
              <w:t>6.33</w:t>
            </w:r>
          </w:p>
        </w:tc>
      </w:tr>
    </w:tbl>
    <w:p w:rsidR="004D7FE2" w:rsidRDefault="004D7FE2" w:rsidP="00D95A35"/>
    <w:p w:rsidR="00104E1F" w:rsidRDefault="00104E1F" w:rsidP="00104E1F">
      <w:pPr>
        <w:pStyle w:val="bParagraphtext"/>
      </w:pPr>
      <w:r>
        <w:t xml:space="preserve">The Parishes have issued the City Council with their precepts. These, and the associated special expensing requirement for other areas of the City, are as shown </w:t>
      </w:r>
      <w:r w:rsidR="00AF74D9">
        <w:t xml:space="preserve">in Table 3 </w:t>
      </w:r>
      <w:r>
        <w:t xml:space="preserve">below. </w:t>
      </w:r>
    </w:p>
    <w:p w:rsidR="004D7FE2" w:rsidRDefault="004D7FE2" w:rsidP="004D7FE2">
      <w:pPr>
        <w:pStyle w:val="bParagraphtext"/>
        <w:numPr>
          <w:ilvl w:val="0"/>
          <w:numId w:val="0"/>
        </w:numPr>
        <w:ind w:left="426" w:hanging="426"/>
      </w:pPr>
    </w:p>
    <w:p w:rsidR="004D7FE2" w:rsidRPr="00BF43ED" w:rsidRDefault="004D7FE2" w:rsidP="00AF74D9">
      <w:pPr>
        <w:tabs>
          <w:tab w:val="left" w:pos="720"/>
        </w:tabs>
        <w:ind w:left="720"/>
        <w:rPr>
          <w:b/>
        </w:rPr>
      </w:pPr>
      <w:r w:rsidRPr="00BF43ED">
        <w:rPr>
          <w:b/>
        </w:rPr>
        <w:lastRenderedPageBreak/>
        <w:t>Table 3 Band D Parish Precept &amp; Special Expenses Addition 202</w:t>
      </w:r>
      <w:r w:rsidR="00242CB5">
        <w:rPr>
          <w:b/>
        </w:rPr>
        <w:t>1/22</w:t>
      </w:r>
    </w:p>
    <w:p w:rsidR="004D7FE2" w:rsidRDefault="004D7FE2" w:rsidP="00246846"/>
    <w:tbl>
      <w:tblPr>
        <w:tblW w:w="10207" w:type="dxa"/>
        <w:tblInd w:w="-436" w:type="dxa"/>
        <w:tblLayout w:type="fixed"/>
        <w:tblLook w:val="0000" w:firstRow="0" w:lastRow="0" w:firstColumn="0" w:lastColumn="0" w:noHBand="0" w:noVBand="0"/>
      </w:tblPr>
      <w:tblGrid>
        <w:gridCol w:w="1560"/>
        <w:gridCol w:w="1560"/>
        <w:gridCol w:w="1559"/>
        <w:gridCol w:w="1559"/>
        <w:gridCol w:w="1418"/>
        <w:gridCol w:w="1275"/>
        <w:gridCol w:w="1276"/>
      </w:tblGrid>
      <w:tr w:rsidR="004C7062" w:rsidRPr="004C7062" w:rsidTr="00246846">
        <w:trPr>
          <w:trHeight w:val="1125"/>
          <w:tblHeader/>
        </w:trPr>
        <w:tc>
          <w:tcPr>
            <w:tcW w:w="1560" w:type="dxa"/>
            <w:tcBorders>
              <w:top w:val="single" w:sz="8" w:space="0" w:color="auto"/>
              <w:left w:val="single" w:sz="8" w:space="0" w:color="auto"/>
              <w:bottom w:val="nil"/>
              <w:right w:val="nil"/>
            </w:tcBorders>
            <w:shd w:val="clear" w:color="auto" w:fill="auto"/>
            <w:noWrap/>
            <w:vAlign w:val="bottom"/>
          </w:tcPr>
          <w:p w:rsidR="004D7FE2" w:rsidRPr="004C7062" w:rsidRDefault="004D7FE2" w:rsidP="000D0150">
            <w:pPr>
              <w:rPr>
                <w:rFonts w:cs="Arial"/>
              </w:rPr>
            </w:pPr>
            <w:r w:rsidRPr="004C7062">
              <w:rPr>
                <w:rFonts w:cs="Arial"/>
              </w:rPr>
              <w:t> </w:t>
            </w:r>
          </w:p>
        </w:tc>
        <w:tc>
          <w:tcPr>
            <w:tcW w:w="1560" w:type="dxa"/>
            <w:tcBorders>
              <w:top w:val="single" w:sz="8" w:space="0" w:color="auto"/>
              <w:left w:val="nil"/>
              <w:bottom w:val="nil"/>
              <w:right w:val="nil"/>
            </w:tcBorders>
            <w:shd w:val="clear" w:color="auto" w:fill="auto"/>
            <w:vAlign w:val="bottom"/>
          </w:tcPr>
          <w:p w:rsidR="004D7FE2" w:rsidRPr="004C7062" w:rsidRDefault="004D7FE2" w:rsidP="000D0150">
            <w:pPr>
              <w:jc w:val="center"/>
              <w:rPr>
                <w:rFonts w:cs="Arial"/>
                <w:bCs/>
              </w:rPr>
            </w:pPr>
            <w:r w:rsidRPr="004C7062">
              <w:rPr>
                <w:rFonts w:cs="Arial"/>
                <w:bCs/>
              </w:rPr>
              <w:t>Parish Precept (net of funding)</w:t>
            </w:r>
          </w:p>
        </w:tc>
        <w:tc>
          <w:tcPr>
            <w:tcW w:w="1559" w:type="dxa"/>
            <w:tcBorders>
              <w:top w:val="single" w:sz="8" w:space="0" w:color="auto"/>
              <w:left w:val="nil"/>
              <w:bottom w:val="nil"/>
              <w:right w:val="nil"/>
            </w:tcBorders>
            <w:shd w:val="clear" w:color="auto" w:fill="auto"/>
            <w:vAlign w:val="bottom"/>
          </w:tcPr>
          <w:p w:rsidR="004D7FE2" w:rsidRPr="004C7062" w:rsidRDefault="004D7FE2" w:rsidP="000D0150">
            <w:pPr>
              <w:jc w:val="center"/>
              <w:rPr>
                <w:rFonts w:cs="Arial"/>
                <w:bCs/>
              </w:rPr>
            </w:pPr>
            <w:r w:rsidRPr="004C7062">
              <w:rPr>
                <w:rFonts w:cs="Arial"/>
                <w:bCs/>
              </w:rPr>
              <w:t>Un</w:t>
            </w:r>
            <w:r w:rsidR="004C7062">
              <w:rPr>
                <w:rFonts w:cs="Arial"/>
                <w:bCs/>
              </w:rPr>
              <w:t xml:space="preserve">parished Area Special Expenses </w:t>
            </w:r>
            <w:r w:rsidRPr="004C7062">
              <w:rPr>
                <w:rFonts w:cs="Arial"/>
                <w:bCs/>
              </w:rPr>
              <w:t>net of Cemeteries</w:t>
            </w:r>
          </w:p>
        </w:tc>
        <w:tc>
          <w:tcPr>
            <w:tcW w:w="1559" w:type="dxa"/>
            <w:tcBorders>
              <w:top w:val="single" w:sz="8" w:space="0" w:color="auto"/>
              <w:left w:val="nil"/>
              <w:bottom w:val="nil"/>
              <w:right w:val="nil"/>
            </w:tcBorders>
            <w:shd w:val="clear" w:color="auto" w:fill="auto"/>
            <w:vAlign w:val="bottom"/>
          </w:tcPr>
          <w:p w:rsidR="004D7FE2" w:rsidRPr="004C7062" w:rsidRDefault="004D7FE2" w:rsidP="000D0150">
            <w:pPr>
              <w:jc w:val="center"/>
              <w:rPr>
                <w:rFonts w:cs="Arial"/>
                <w:bCs/>
              </w:rPr>
            </w:pPr>
            <w:r w:rsidRPr="004C7062">
              <w:rPr>
                <w:rFonts w:cs="Arial"/>
                <w:bCs/>
              </w:rPr>
              <w:t>Special Expense for Cemeteries</w:t>
            </w:r>
          </w:p>
        </w:tc>
        <w:tc>
          <w:tcPr>
            <w:tcW w:w="1418" w:type="dxa"/>
            <w:tcBorders>
              <w:top w:val="single" w:sz="8" w:space="0" w:color="auto"/>
              <w:left w:val="nil"/>
              <w:bottom w:val="nil"/>
              <w:right w:val="nil"/>
            </w:tcBorders>
            <w:shd w:val="clear" w:color="auto" w:fill="auto"/>
            <w:noWrap/>
            <w:vAlign w:val="bottom"/>
          </w:tcPr>
          <w:p w:rsidR="004D7FE2" w:rsidRPr="004C7062" w:rsidRDefault="004D7FE2" w:rsidP="000D0150">
            <w:pPr>
              <w:jc w:val="center"/>
              <w:rPr>
                <w:rFonts w:cs="Arial"/>
                <w:b/>
                <w:bCs/>
              </w:rPr>
            </w:pPr>
            <w:r w:rsidRPr="004C7062">
              <w:rPr>
                <w:rFonts w:cs="Arial"/>
                <w:b/>
                <w:bCs/>
              </w:rPr>
              <w:t>Total</w:t>
            </w:r>
          </w:p>
        </w:tc>
        <w:tc>
          <w:tcPr>
            <w:tcW w:w="1275" w:type="dxa"/>
            <w:tcBorders>
              <w:top w:val="single" w:sz="8" w:space="0" w:color="auto"/>
              <w:left w:val="nil"/>
              <w:bottom w:val="nil"/>
              <w:right w:val="nil"/>
            </w:tcBorders>
            <w:shd w:val="clear" w:color="auto" w:fill="auto"/>
            <w:vAlign w:val="bottom"/>
          </w:tcPr>
          <w:p w:rsidR="004D7FE2" w:rsidRPr="004C7062" w:rsidRDefault="004D7FE2" w:rsidP="000D0150">
            <w:pPr>
              <w:jc w:val="center"/>
              <w:rPr>
                <w:rFonts w:cs="Arial"/>
                <w:bCs/>
              </w:rPr>
            </w:pPr>
            <w:r w:rsidRPr="004C7062">
              <w:rPr>
                <w:rFonts w:cs="Arial"/>
                <w:bCs/>
              </w:rPr>
              <w:t>Tax Base Numbers</w:t>
            </w:r>
          </w:p>
        </w:tc>
        <w:tc>
          <w:tcPr>
            <w:tcW w:w="1276" w:type="dxa"/>
            <w:tcBorders>
              <w:top w:val="single" w:sz="8" w:space="0" w:color="auto"/>
              <w:left w:val="nil"/>
              <w:bottom w:val="nil"/>
              <w:right w:val="single" w:sz="8" w:space="0" w:color="auto"/>
            </w:tcBorders>
            <w:shd w:val="clear" w:color="auto" w:fill="auto"/>
            <w:vAlign w:val="bottom"/>
          </w:tcPr>
          <w:p w:rsidR="004D7FE2" w:rsidRPr="004C7062" w:rsidRDefault="004D7FE2" w:rsidP="000D0150">
            <w:pPr>
              <w:jc w:val="center"/>
              <w:rPr>
                <w:rFonts w:cs="Arial"/>
                <w:b/>
                <w:bCs/>
              </w:rPr>
            </w:pPr>
            <w:r w:rsidRPr="004C7062">
              <w:rPr>
                <w:rFonts w:cs="Arial"/>
                <w:b/>
                <w:bCs/>
              </w:rPr>
              <w:t>Average Band D</w:t>
            </w:r>
          </w:p>
        </w:tc>
      </w:tr>
      <w:tr w:rsidR="004C7062" w:rsidRPr="00BF43ED" w:rsidTr="004C7062">
        <w:trPr>
          <w:trHeight w:val="270"/>
        </w:trPr>
        <w:tc>
          <w:tcPr>
            <w:tcW w:w="1560" w:type="dxa"/>
            <w:tcBorders>
              <w:top w:val="nil"/>
              <w:left w:val="single" w:sz="8" w:space="0" w:color="auto"/>
              <w:bottom w:val="nil"/>
              <w:right w:val="nil"/>
            </w:tcBorders>
            <w:shd w:val="clear" w:color="auto" w:fill="auto"/>
            <w:noWrap/>
            <w:vAlign w:val="bottom"/>
          </w:tcPr>
          <w:p w:rsidR="004D7FE2" w:rsidRPr="00BF43ED" w:rsidRDefault="004D7FE2" w:rsidP="004C7062">
            <w:pPr>
              <w:jc w:val="right"/>
              <w:rPr>
                <w:rFonts w:cs="Arial"/>
              </w:rPr>
            </w:pPr>
            <w:r w:rsidRPr="00BF43ED">
              <w:rPr>
                <w:rFonts w:cs="Arial"/>
              </w:rPr>
              <w:t> </w:t>
            </w:r>
          </w:p>
        </w:tc>
        <w:tc>
          <w:tcPr>
            <w:tcW w:w="1560" w:type="dxa"/>
            <w:tcBorders>
              <w:top w:val="nil"/>
              <w:left w:val="nil"/>
              <w:bottom w:val="nil"/>
              <w:right w:val="nil"/>
            </w:tcBorders>
            <w:shd w:val="clear" w:color="auto" w:fill="auto"/>
            <w:noWrap/>
            <w:vAlign w:val="bottom"/>
          </w:tcPr>
          <w:p w:rsidR="004D7FE2" w:rsidRPr="00BF43ED" w:rsidRDefault="004D7FE2" w:rsidP="004C7062">
            <w:pPr>
              <w:jc w:val="right"/>
              <w:rPr>
                <w:rFonts w:cs="Arial"/>
                <w:b/>
                <w:bCs/>
              </w:rPr>
            </w:pPr>
            <w:r w:rsidRPr="00BF43ED">
              <w:rPr>
                <w:rFonts w:cs="Arial"/>
                <w:b/>
                <w:bCs/>
              </w:rPr>
              <w:t>£</w:t>
            </w:r>
          </w:p>
        </w:tc>
        <w:tc>
          <w:tcPr>
            <w:tcW w:w="1559" w:type="dxa"/>
            <w:tcBorders>
              <w:top w:val="nil"/>
              <w:left w:val="nil"/>
              <w:bottom w:val="nil"/>
              <w:right w:val="nil"/>
            </w:tcBorders>
            <w:shd w:val="clear" w:color="auto" w:fill="auto"/>
            <w:noWrap/>
            <w:vAlign w:val="bottom"/>
          </w:tcPr>
          <w:p w:rsidR="004D7FE2" w:rsidRPr="00BF43ED" w:rsidRDefault="004D7FE2" w:rsidP="004C7062">
            <w:pPr>
              <w:jc w:val="right"/>
              <w:rPr>
                <w:rFonts w:cs="Arial"/>
              </w:rPr>
            </w:pPr>
          </w:p>
        </w:tc>
        <w:tc>
          <w:tcPr>
            <w:tcW w:w="1559" w:type="dxa"/>
            <w:tcBorders>
              <w:top w:val="nil"/>
              <w:left w:val="nil"/>
              <w:bottom w:val="nil"/>
              <w:right w:val="nil"/>
            </w:tcBorders>
            <w:shd w:val="clear" w:color="auto" w:fill="auto"/>
            <w:noWrap/>
            <w:vAlign w:val="bottom"/>
          </w:tcPr>
          <w:p w:rsidR="004D7FE2" w:rsidRPr="00BF43ED" w:rsidRDefault="004D7FE2" w:rsidP="004C7062">
            <w:pPr>
              <w:jc w:val="right"/>
              <w:rPr>
                <w:rFonts w:cs="Arial"/>
                <w:b/>
                <w:bCs/>
              </w:rPr>
            </w:pPr>
            <w:r w:rsidRPr="00BF43ED">
              <w:rPr>
                <w:rFonts w:cs="Arial"/>
                <w:b/>
                <w:bCs/>
              </w:rPr>
              <w:t>£</w:t>
            </w:r>
          </w:p>
        </w:tc>
        <w:tc>
          <w:tcPr>
            <w:tcW w:w="1418" w:type="dxa"/>
            <w:tcBorders>
              <w:top w:val="nil"/>
              <w:left w:val="nil"/>
              <w:bottom w:val="nil"/>
              <w:right w:val="nil"/>
            </w:tcBorders>
            <w:shd w:val="clear" w:color="auto" w:fill="auto"/>
            <w:noWrap/>
            <w:vAlign w:val="bottom"/>
          </w:tcPr>
          <w:p w:rsidR="004D7FE2" w:rsidRPr="00BF43ED" w:rsidRDefault="004D7FE2" w:rsidP="004C7062">
            <w:pPr>
              <w:jc w:val="right"/>
              <w:rPr>
                <w:rFonts w:cs="Arial"/>
                <w:b/>
                <w:bCs/>
              </w:rPr>
            </w:pPr>
            <w:r w:rsidRPr="00BF43ED">
              <w:rPr>
                <w:rFonts w:cs="Arial"/>
                <w:b/>
                <w:bCs/>
              </w:rPr>
              <w:t>£</w:t>
            </w:r>
          </w:p>
        </w:tc>
        <w:tc>
          <w:tcPr>
            <w:tcW w:w="1275" w:type="dxa"/>
            <w:tcBorders>
              <w:top w:val="nil"/>
              <w:left w:val="nil"/>
              <w:bottom w:val="nil"/>
              <w:right w:val="nil"/>
            </w:tcBorders>
            <w:shd w:val="clear" w:color="auto" w:fill="auto"/>
            <w:noWrap/>
            <w:vAlign w:val="bottom"/>
          </w:tcPr>
          <w:p w:rsidR="004D7FE2" w:rsidRPr="00BF43ED" w:rsidRDefault="004D7FE2" w:rsidP="004C7062">
            <w:pPr>
              <w:jc w:val="right"/>
              <w:rPr>
                <w:rFonts w:cs="Arial"/>
                <w:b/>
                <w:bCs/>
              </w:rPr>
            </w:pPr>
          </w:p>
        </w:tc>
        <w:tc>
          <w:tcPr>
            <w:tcW w:w="1276" w:type="dxa"/>
            <w:tcBorders>
              <w:top w:val="nil"/>
              <w:left w:val="nil"/>
              <w:bottom w:val="nil"/>
              <w:right w:val="single" w:sz="8" w:space="0" w:color="auto"/>
            </w:tcBorders>
            <w:shd w:val="clear" w:color="auto" w:fill="auto"/>
            <w:noWrap/>
            <w:vAlign w:val="bottom"/>
          </w:tcPr>
          <w:p w:rsidR="004D7FE2" w:rsidRPr="00BF43ED" w:rsidRDefault="004D7FE2" w:rsidP="004C7062">
            <w:pPr>
              <w:jc w:val="right"/>
              <w:rPr>
                <w:rFonts w:cs="Arial"/>
                <w:b/>
                <w:bCs/>
              </w:rPr>
            </w:pPr>
            <w:r w:rsidRPr="00BF43ED">
              <w:rPr>
                <w:rFonts w:cs="Arial"/>
                <w:b/>
                <w:bCs/>
              </w:rPr>
              <w:t>£</w:t>
            </w:r>
          </w:p>
        </w:tc>
      </w:tr>
      <w:tr w:rsidR="004C7062" w:rsidRPr="00BF43ED" w:rsidTr="00246846">
        <w:trPr>
          <w:trHeight w:val="255"/>
        </w:trPr>
        <w:tc>
          <w:tcPr>
            <w:tcW w:w="1560" w:type="dxa"/>
            <w:tcBorders>
              <w:top w:val="single" w:sz="8" w:space="0" w:color="auto"/>
              <w:left w:val="single" w:sz="8" w:space="0" w:color="auto"/>
              <w:bottom w:val="nil"/>
              <w:right w:val="nil"/>
            </w:tcBorders>
            <w:shd w:val="clear" w:color="auto" w:fill="auto"/>
            <w:noWrap/>
            <w:vAlign w:val="bottom"/>
          </w:tcPr>
          <w:p w:rsidR="004D7FE2" w:rsidRPr="00BF43ED" w:rsidRDefault="004D7FE2" w:rsidP="000D0150">
            <w:pPr>
              <w:rPr>
                <w:rFonts w:cs="Arial"/>
              </w:rPr>
            </w:pPr>
            <w:r w:rsidRPr="00BF43ED">
              <w:rPr>
                <w:rFonts w:cs="Arial"/>
              </w:rPr>
              <w:t>Littlemore</w:t>
            </w:r>
          </w:p>
        </w:tc>
        <w:tc>
          <w:tcPr>
            <w:tcW w:w="1560" w:type="dxa"/>
            <w:tcBorders>
              <w:top w:val="single" w:sz="8" w:space="0" w:color="auto"/>
              <w:left w:val="nil"/>
              <w:bottom w:val="nil"/>
              <w:right w:val="nil"/>
            </w:tcBorders>
            <w:shd w:val="clear" w:color="auto" w:fill="auto"/>
            <w:noWrap/>
            <w:vAlign w:val="center"/>
          </w:tcPr>
          <w:p w:rsidR="004D7FE2" w:rsidRPr="00BF43ED" w:rsidRDefault="004D7FE2" w:rsidP="008F52F7">
            <w:pPr>
              <w:jc w:val="right"/>
              <w:rPr>
                <w:rFonts w:cs="Arial"/>
              </w:rPr>
            </w:pPr>
            <w:r w:rsidRPr="00BF43ED">
              <w:rPr>
                <w:rFonts w:cs="Arial"/>
              </w:rPr>
              <w:t>10</w:t>
            </w:r>
            <w:r w:rsidR="008F52F7">
              <w:rPr>
                <w:rFonts w:cs="Arial"/>
              </w:rPr>
              <w:t>6,076.00</w:t>
            </w:r>
          </w:p>
        </w:tc>
        <w:tc>
          <w:tcPr>
            <w:tcW w:w="1559" w:type="dxa"/>
            <w:tcBorders>
              <w:top w:val="single" w:sz="8" w:space="0" w:color="auto"/>
              <w:left w:val="nil"/>
              <w:bottom w:val="nil"/>
              <w:right w:val="nil"/>
            </w:tcBorders>
            <w:shd w:val="clear" w:color="auto" w:fill="C0C0C0"/>
            <w:noWrap/>
            <w:vAlign w:val="center"/>
          </w:tcPr>
          <w:p w:rsidR="004D7FE2" w:rsidRPr="00BF43ED" w:rsidRDefault="00246846" w:rsidP="00246846">
            <w:pPr>
              <w:jc w:val="right"/>
              <w:rPr>
                <w:rFonts w:cs="Arial"/>
              </w:rPr>
            </w:pPr>
            <w:r>
              <w:rPr>
                <w:rFonts w:cs="Arial"/>
              </w:rPr>
              <w:t>n/a</w:t>
            </w:r>
          </w:p>
        </w:tc>
        <w:tc>
          <w:tcPr>
            <w:tcW w:w="1559" w:type="dxa"/>
            <w:tcBorders>
              <w:top w:val="single" w:sz="8" w:space="0" w:color="auto"/>
              <w:left w:val="nil"/>
              <w:bottom w:val="nil"/>
              <w:right w:val="nil"/>
            </w:tcBorders>
            <w:shd w:val="clear" w:color="auto" w:fill="auto"/>
            <w:noWrap/>
            <w:vAlign w:val="center"/>
          </w:tcPr>
          <w:p w:rsidR="004D7FE2" w:rsidRPr="00BF43ED" w:rsidRDefault="004D7FE2" w:rsidP="008F52F7">
            <w:pPr>
              <w:jc w:val="right"/>
              <w:rPr>
                <w:rFonts w:cs="Arial"/>
              </w:rPr>
            </w:pPr>
            <w:r w:rsidRPr="00BF43ED">
              <w:rPr>
                <w:rFonts w:cs="Arial"/>
              </w:rPr>
              <w:t>8</w:t>
            </w:r>
            <w:r w:rsidR="008F52F7">
              <w:rPr>
                <w:rFonts w:cs="Arial"/>
              </w:rPr>
              <w:t>22.51</w:t>
            </w:r>
          </w:p>
        </w:tc>
        <w:tc>
          <w:tcPr>
            <w:tcW w:w="1418" w:type="dxa"/>
            <w:tcBorders>
              <w:top w:val="single" w:sz="8" w:space="0" w:color="auto"/>
              <w:left w:val="nil"/>
              <w:bottom w:val="nil"/>
              <w:right w:val="nil"/>
            </w:tcBorders>
            <w:shd w:val="clear" w:color="auto" w:fill="auto"/>
            <w:noWrap/>
            <w:vAlign w:val="center"/>
          </w:tcPr>
          <w:p w:rsidR="004D7FE2" w:rsidRPr="00BF43ED" w:rsidRDefault="004D7FE2" w:rsidP="008F52F7">
            <w:pPr>
              <w:jc w:val="right"/>
              <w:rPr>
                <w:rFonts w:cs="Arial"/>
              </w:rPr>
            </w:pPr>
            <w:r w:rsidRPr="00BF43ED">
              <w:rPr>
                <w:rFonts w:cs="Arial"/>
              </w:rPr>
              <w:t>10</w:t>
            </w:r>
            <w:r w:rsidR="008F52F7">
              <w:rPr>
                <w:rFonts w:cs="Arial"/>
              </w:rPr>
              <w:t>6,898.51</w:t>
            </w:r>
          </w:p>
        </w:tc>
        <w:tc>
          <w:tcPr>
            <w:tcW w:w="1275" w:type="dxa"/>
            <w:tcBorders>
              <w:top w:val="single" w:sz="8" w:space="0" w:color="auto"/>
              <w:left w:val="nil"/>
              <w:bottom w:val="nil"/>
              <w:right w:val="nil"/>
            </w:tcBorders>
            <w:shd w:val="clear" w:color="auto" w:fill="auto"/>
            <w:noWrap/>
            <w:vAlign w:val="center"/>
          </w:tcPr>
          <w:p w:rsidR="004D7FE2" w:rsidRPr="00BF43ED" w:rsidRDefault="004D7FE2" w:rsidP="008F52F7">
            <w:pPr>
              <w:jc w:val="right"/>
              <w:rPr>
                <w:rFonts w:cs="Arial"/>
              </w:rPr>
            </w:pPr>
            <w:r w:rsidRPr="00BF43ED">
              <w:rPr>
                <w:rFonts w:cs="Arial"/>
              </w:rPr>
              <w:t>1,8</w:t>
            </w:r>
            <w:r w:rsidR="008F52F7">
              <w:rPr>
                <w:rFonts w:cs="Arial"/>
              </w:rPr>
              <w:t>27.1</w:t>
            </w:r>
          </w:p>
        </w:tc>
        <w:tc>
          <w:tcPr>
            <w:tcW w:w="1276" w:type="dxa"/>
            <w:tcBorders>
              <w:top w:val="single" w:sz="8" w:space="0" w:color="auto"/>
              <w:left w:val="nil"/>
              <w:bottom w:val="nil"/>
              <w:right w:val="single" w:sz="8" w:space="0" w:color="auto"/>
            </w:tcBorders>
            <w:shd w:val="clear" w:color="auto" w:fill="auto"/>
            <w:noWrap/>
            <w:vAlign w:val="center"/>
          </w:tcPr>
          <w:p w:rsidR="004D7FE2" w:rsidRPr="00BF43ED" w:rsidRDefault="004D7FE2" w:rsidP="008F52F7">
            <w:pPr>
              <w:jc w:val="right"/>
              <w:rPr>
                <w:rFonts w:cs="Arial"/>
              </w:rPr>
            </w:pPr>
            <w:r w:rsidRPr="00BF43ED">
              <w:rPr>
                <w:rFonts w:cs="Arial"/>
              </w:rPr>
              <w:t>5</w:t>
            </w:r>
            <w:r w:rsidR="008F52F7">
              <w:rPr>
                <w:rFonts w:cs="Arial"/>
              </w:rPr>
              <w:t>8.51</w:t>
            </w:r>
          </w:p>
        </w:tc>
      </w:tr>
      <w:tr w:rsidR="004C7062" w:rsidRPr="00BF43ED" w:rsidTr="00246846">
        <w:trPr>
          <w:trHeight w:val="255"/>
        </w:trPr>
        <w:tc>
          <w:tcPr>
            <w:tcW w:w="1560" w:type="dxa"/>
            <w:tcBorders>
              <w:top w:val="nil"/>
              <w:left w:val="single" w:sz="8" w:space="0" w:color="auto"/>
              <w:bottom w:val="nil"/>
              <w:right w:val="nil"/>
            </w:tcBorders>
            <w:shd w:val="clear" w:color="auto" w:fill="auto"/>
            <w:noWrap/>
            <w:vAlign w:val="bottom"/>
          </w:tcPr>
          <w:p w:rsidR="004D7FE2" w:rsidRPr="00BF43ED" w:rsidRDefault="004D7FE2" w:rsidP="000D0150">
            <w:pPr>
              <w:rPr>
                <w:rFonts w:cs="Arial"/>
              </w:rPr>
            </w:pPr>
            <w:r w:rsidRPr="00BF43ED">
              <w:rPr>
                <w:rFonts w:cs="Arial"/>
              </w:rPr>
              <w:t xml:space="preserve">Old Marston </w:t>
            </w:r>
          </w:p>
        </w:tc>
        <w:tc>
          <w:tcPr>
            <w:tcW w:w="1560" w:type="dxa"/>
            <w:tcBorders>
              <w:top w:val="nil"/>
              <w:left w:val="nil"/>
              <w:bottom w:val="nil"/>
              <w:right w:val="nil"/>
            </w:tcBorders>
            <w:shd w:val="clear" w:color="auto" w:fill="auto"/>
            <w:noWrap/>
            <w:vAlign w:val="center"/>
          </w:tcPr>
          <w:p w:rsidR="004D7FE2" w:rsidRPr="00BF43ED" w:rsidRDefault="004D7FE2" w:rsidP="00246846">
            <w:pPr>
              <w:jc w:val="right"/>
              <w:rPr>
                <w:rFonts w:cs="Arial"/>
              </w:rPr>
            </w:pPr>
            <w:r w:rsidRPr="00BF43ED">
              <w:rPr>
                <w:rFonts w:cs="Arial"/>
              </w:rPr>
              <w:t>60,969.00</w:t>
            </w:r>
          </w:p>
        </w:tc>
        <w:tc>
          <w:tcPr>
            <w:tcW w:w="1559" w:type="dxa"/>
            <w:tcBorders>
              <w:top w:val="nil"/>
              <w:left w:val="nil"/>
              <w:bottom w:val="nil"/>
              <w:right w:val="nil"/>
            </w:tcBorders>
            <w:shd w:val="clear" w:color="auto" w:fill="C0C0C0"/>
            <w:noWrap/>
            <w:vAlign w:val="center"/>
          </w:tcPr>
          <w:p w:rsidR="004D7FE2" w:rsidRPr="00BF43ED" w:rsidRDefault="00246846" w:rsidP="00246846">
            <w:pPr>
              <w:jc w:val="right"/>
              <w:rPr>
                <w:rFonts w:cs="Arial"/>
              </w:rPr>
            </w:pPr>
            <w:r>
              <w:rPr>
                <w:rFonts w:cs="Arial"/>
              </w:rPr>
              <w:t>n/a</w:t>
            </w:r>
          </w:p>
        </w:tc>
        <w:tc>
          <w:tcPr>
            <w:tcW w:w="1559" w:type="dxa"/>
            <w:tcBorders>
              <w:top w:val="nil"/>
              <w:left w:val="nil"/>
              <w:bottom w:val="nil"/>
              <w:right w:val="nil"/>
            </w:tcBorders>
            <w:shd w:val="clear" w:color="auto" w:fill="C0C0C0"/>
            <w:noWrap/>
            <w:vAlign w:val="center"/>
          </w:tcPr>
          <w:p w:rsidR="004D7FE2" w:rsidRPr="00BF43ED" w:rsidRDefault="00246846" w:rsidP="00246846">
            <w:pPr>
              <w:jc w:val="right"/>
              <w:rPr>
                <w:rFonts w:cs="Arial"/>
              </w:rPr>
            </w:pPr>
            <w:r>
              <w:rPr>
                <w:rFonts w:cs="Arial"/>
              </w:rPr>
              <w:t>n/a</w:t>
            </w:r>
          </w:p>
        </w:tc>
        <w:tc>
          <w:tcPr>
            <w:tcW w:w="1418" w:type="dxa"/>
            <w:tcBorders>
              <w:top w:val="nil"/>
              <w:left w:val="nil"/>
              <w:bottom w:val="nil"/>
              <w:right w:val="nil"/>
            </w:tcBorders>
            <w:shd w:val="clear" w:color="auto" w:fill="auto"/>
            <w:noWrap/>
            <w:vAlign w:val="center"/>
          </w:tcPr>
          <w:p w:rsidR="004D7FE2" w:rsidRPr="00BF43ED" w:rsidRDefault="004D7FE2" w:rsidP="00246846">
            <w:pPr>
              <w:jc w:val="right"/>
              <w:rPr>
                <w:rFonts w:cs="Arial"/>
              </w:rPr>
            </w:pPr>
            <w:r w:rsidRPr="00BF43ED">
              <w:rPr>
                <w:rFonts w:cs="Arial"/>
              </w:rPr>
              <w:t>60,969.00</w:t>
            </w:r>
          </w:p>
        </w:tc>
        <w:tc>
          <w:tcPr>
            <w:tcW w:w="1275" w:type="dxa"/>
            <w:tcBorders>
              <w:top w:val="nil"/>
              <w:left w:val="nil"/>
              <w:bottom w:val="nil"/>
              <w:right w:val="nil"/>
            </w:tcBorders>
            <w:shd w:val="clear" w:color="auto" w:fill="auto"/>
            <w:noWrap/>
            <w:vAlign w:val="center"/>
          </w:tcPr>
          <w:p w:rsidR="004D7FE2" w:rsidRPr="00BF43ED" w:rsidRDefault="004D7FE2" w:rsidP="008F52F7">
            <w:pPr>
              <w:jc w:val="right"/>
              <w:rPr>
                <w:rFonts w:cs="Arial"/>
              </w:rPr>
            </w:pPr>
            <w:r w:rsidRPr="00BF43ED">
              <w:rPr>
                <w:rFonts w:cs="Arial"/>
              </w:rPr>
              <w:t>1,2</w:t>
            </w:r>
            <w:r w:rsidR="008F52F7">
              <w:rPr>
                <w:rFonts w:cs="Arial"/>
              </w:rPr>
              <w:t>78.3</w:t>
            </w:r>
          </w:p>
        </w:tc>
        <w:tc>
          <w:tcPr>
            <w:tcW w:w="1276" w:type="dxa"/>
            <w:tcBorders>
              <w:top w:val="nil"/>
              <w:left w:val="nil"/>
              <w:bottom w:val="nil"/>
              <w:right w:val="single" w:sz="8" w:space="0" w:color="auto"/>
            </w:tcBorders>
            <w:shd w:val="clear" w:color="auto" w:fill="auto"/>
            <w:noWrap/>
            <w:vAlign w:val="center"/>
          </w:tcPr>
          <w:p w:rsidR="004D7FE2" w:rsidRPr="00BF43ED" w:rsidRDefault="004D7FE2" w:rsidP="008F52F7">
            <w:pPr>
              <w:jc w:val="right"/>
              <w:rPr>
                <w:rFonts w:cs="Arial"/>
              </w:rPr>
            </w:pPr>
            <w:r w:rsidRPr="00BF43ED">
              <w:rPr>
                <w:rFonts w:cs="Arial"/>
              </w:rPr>
              <w:t>47.</w:t>
            </w:r>
            <w:r w:rsidR="008F52F7">
              <w:rPr>
                <w:rFonts w:cs="Arial"/>
              </w:rPr>
              <w:t>70</w:t>
            </w:r>
          </w:p>
        </w:tc>
      </w:tr>
      <w:tr w:rsidR="004C7062" w:rsidRPr="00BF43ED" w:rsidTr="00246846">
        <w:trPr>
          <w:trHeight w:val="450"/>
        </w:trPr>
        <w:tc>
          <w:tcPr>
            <w:tcW w:w="1560" w:type="dxa"/>
            <w:tcBorders>
              <w:top w:val="nil"/>
              <w:left w:val="single" w:sz="8" w:space="0" w:color="auto"/>
              <w:bottom w:val="nil"/>
              <w:right w:val="nil"/>
            </w:tcBorders>
            <w:shd w:val="clear" w:color="auto" w:fill="auto"/>
            <w:vAlign w:val="bottom"/>
          </w:tcPr>
          <w:p w:rsidR="004D7FE2" w:rsidRPr="00BF43ED" w:rsidRDefault="004D7FE2" w:rsidP="000D0150">
            <w:pPr>
              <w:rPr>
                <w:rFonts w:cs="Arial"/>
              </w:rPr>
            </w:pPr>
            <w:r w:rsidRPr="00BF43ED">
              <w:rPr>
                <w:rFonts w:cs="Arial"/>
              </w:rPr>
              <w:t>Risinghurst and Sandhills</w:t>
            </w:r>
          </w:p>
        </w:tc>
        <w:tc>
          <w:tcPr>
            <w:tcW w:w="1560" w:type="dxa"/>
            <w:tcBorders>
              <w:top w:val="nil"/>
              <w:left w:val="nil"/>
              <w:bottom w:val="nil"/>
              <w:right w:val="nil"/>
            </w:tcBorders>
            <w:shd w:val="clear" w:color="auto" w:fill="auto"/>
            <w:noWrap/>
            <w:vAlign w:val="center"/>
          </w:tcPr>
          <w:p w:rsidR="004D7FE2" w:rsidRPr="00BF43ED" w:rsidRDefault="004D7FE2" w:rsidP="008F52F7">
            <w:pPr>
              <w:jc w:val="right"/>
              <w:rPr>
                <w:rFonts w:cs="Arial"/>
              </w:rPr>
            </w:pPr>
            <w:r w:rsidRPr="00BF43ED">
              <w:rPr>
                <w:rFonts w:cs="Arial"/>
              </w:rPr>
              <w:t>5</w:t>
            </w:r>
            <w:r w:rsidR="008F52F7">
              <w:rPr>
                <w:rFonts w:cs="Arial"/>
              </w:rPr>
              <w:t>6,400.00</w:t>
            </w:r>
          </w:p>
        </w:tc>
        <w:tc>
          <w:tcPr>
            <w:tcW w:w="1559" w:type="dxa"/>
            <w:tcBorders>
              <w:top w:val="nil"/>
              <w:left w:val="nil"/>
              <w:bottom w:val="nil"/>
              <w:right w:val="nil"/>
            </w:tcBorders>
            <w:shd w:val="clear" w:color="auto" w:fill="C0C0C0"/>
            <w:noWrap/>
            <w:vAlign w:val="center"/>
          </w:tcPr>
          <w:p w:rsidR="004D7FE2" w:rsidRPr="00BF43ED" w:rsidRDefault="00246846" w:rsidP="00246846">
            <w:pPr>
              <w:jc w:val="right"/>
              <w:rPr>
                <w:rFonts w:cs="Arial"/>
              </w:rPr>
            </w:pPr>
            <w:r>
              <w:rPr>
                <w:rFonts w:cs="Arial"/>
              </w:rPr>
              <w:t>n/a</w:t>
            </w:r>
          </w:p>
        </w:tc>
        <w:tc>
          <w:tcPr>
            <w:tcW w:w="1559" w:type="dxa"/>
            <w:tcBorders>
              <w:top w:val="nil"/>
              <w:left w:val="nil"/>
              <w:bottom w:val="nil"/>
              <w:right w:val="nil"/>
            </w:tcBorders>
            <w:shd w:val="clear" w:color="auto" w:fill="auto"/>
            <w:noWrap/>
            <w:vAlign w:val="center"/>
          </w:tcPr>
          <w:p w:rsidR="004D7FE2" w:rsidRPr="00BF43ED" w:rsidRDefault="008F52F7" w:rsidP="008F52F7">
            <w:pPr>
              <w:jc w:val="right"/>
              <w:rPr>
                <w:rFonts w:cs="Arial"/>
              </w:rPr>
            </w:pPr>
            <w:r>
              <w:rPr>
                <w:rFonts w:cs="Arial"/>
              </w:rPr>
              <w:t>698.08</w:t>
            </w:r>
          </w:p>
        </w:tc>
        <w:tc>
          <w:tcPr>
            <w:tcW w:w="1418" w:type="dxa"/>
            <w:tcBorders>
              <w:top w:val="nil"/>
              <w:left w:val="nil"/>
              <w:bottom w:val="nil"/>
              <w:right w:val="nil"/>
            </w:tcBorders>
            <w:shd w:val="clear" w:color="auto" w:fill="auto"/>
            <w:noWrap/>
            <w:vAlign w:val="center"/>
          </w:tcPr>
          <w:p w:rsidR="004D7FE2" w:rsidRPr="00BF43ED" w:rsidRDefault="004D7FE2" w:rsidP="008F52F7">
            <w:pPr>
              <w:jc w:val="right"/>
              <w:rPr>
                <w:rFonts w:cs="Arial"/>
              </w:rPr>
            </w:pPr>
            <w:r w:rsidRPr="00BF43ED">
              <w:rPr>
                <w:rFonts w:cs="Arial"/>
              </w:rPr>
              <w:t>5</w:t>
            </w:r>
            <w:r w:rsidR="008F52F7">
              <w:rPr>
                <w:rFonts w:cs="Arial"/>
              </w:rPr>
              <w:t>7,098.08</w:t>
            </w:r>
          </w:p>
        </w:tc>
        <w:tc>
          <w:tcPr>
            <w:tcW w:w="1275" w:type="dxa"/>
            <w:tcBorders>
              <w:top w:val="nil"/>
              <w:left w:val="nil"/>
              <w:bottom w:val="nil"/>
              <w:right w:val="nil"/>
            </w:tcBorders>
            <w:shd w:val="clear" w:color="auto" w:fill="auto"/>
            <w:noWrap/>
            <w:vAlign w:val="center"/>
          </w:tcPr>
          <w:p w:rsidR="004D7FE2" w:rsidRPr="00BF43ED" w:rsidRDefault="004D7FE2" w:rsidP="008F52F7">
            <w:pPr>
              <w:jc w:val="right"/>
              <w:rPr>
                <w:rFonts w:cs="Arial"/>
              </w:rPr>
            </w:pPr>
            <w:r w:rsidRPr="00BF43ED">
              <w:rPr>
                <w:rFonts w:cs="Arial"/>
              </w:rPr>
              <w:t>1,</w:t>
            </w:r>
            <w:r w:rsidR="008F52F7">
              <w:rPr>
                <w:rFonts w:cs="Arial"/>
              </w:rPr>
              <w:t>550.7</w:t>
            </w:r>
          </w:p>
        </w:tc>
        <w:tc>
          <w:tcPr>
            <w:tcW w:w="1276" w:type="dxa"/>
            <w:tcBorders>
              <w:top w:val="nil"/>
              <w:left w:val="nil"/>
              <w:bottom w:val="nil"/>
              <w:right w:val="single" w:sz="8" w:space="0" w:color="auto"/>
            </w:tcBorders>
            <w:shd w:val="clear" w:color="auto" w:fill="auto"/>
            <w:noWrap/>
            <w:vAlign w:val="center"/>
          </w:tcPr>
          <w:p w:rsidR="004D7FE2" w:rsidRPr="00BF43ED" w:rsidRDefault="004D7FE2" w:rsidP="008F52F7">
            <w:pPr>
              <w:jc w:val="right"/>
              <w:rPr>
                <w:rFonts w:cs="Arial"/>
              </w:rPr>
            </w:pPr>
            <w:r w:rsidRPr="00BF43ED">
              <w:rPr>
                <w:rFonts w:cs="Arial"/>
              </w:rPr>
              <w:t>36.</w:t>
            </w:r>
            <w:r w:rsidR="008F52F7">
              <w:rPr>
                <w:rFonts w:cs="Arial"/>
              </w:rPr>
              <w:t>82</w:t>
            </w:r>
          </w:p>
        </w:tc>
      </w:tr>
      <w:tr w:rsidR="004C7062" w:rsidRPr="00BF43ED" w:rsidTr="00246846">
        <w:trPr>
          <w:trHeight w:val="255"/>
        </w:trPr>
        <w:tc>
          <w:tcPr>
            <w:tcW w:w="1560" w:type="dxa"/>
            <w:tcBorders>
              <w:top w:val="nil"/>
              <w:left w:val="single" w:sz="8" w:space="0" w:color="auto"/>
              <w:bottom w:val="nil"/>
              <w:right w:val="nil"/>
            </w:tcBorders>
            <w:shd w:val="clear" w:color="auto" w:fill="auto"/>
            <w:noWrap/>
            <w:vAlign w:val="bottom"/>
          </w:tcPr>
          <w:p w:rsidR="004D7FE2" w:rsidRPr="00BF43ED" w:rsidRDefault="004D7FE2" w:rsidP="000D0150">
            <w:pPr>
              <w:rPr>
                <w:rFonts w:cs="Arial"/>
              </w:rPr>
            </w:pPr>
            <w:r w:rsidRPr="00BF43ED">
              <w:rPr>
                <w:rFonts w:cs="Arial"/>
              </w:rPr>
              <w:t>Blackbird Leys</w:t>
            </w:r>
          </w:p>
        </w:tc>
        <w:tc>
          <w:tcPr>
            <w:tcW w:w="1560" w:type="dxa"/>
            <w:tcBorders>
              <w:top w:val="nil"/>
              <w:left w:val="nil"/>
              <w:bottom w:val="nil"/>
              <w:right w:val="nil"/>
            </w:tcBorders>
            <w:shd w:val="clear" w:color="auto" w:fill="auto"/>
            <w:noWrap/>
            <w:vAlign w:val="center"/>
          </w:tcPr>
          <w:p w:rsidR="004D7FE2" w:rsidRPr="00BF43ED" w:rsidRDefault="004D7FE2" w:rsidP="00246846">
            <w:pPr>
              <w:jc w:val="right"/>
              <w:rPr>
                <w:rFonts w:cs="Arial"/>
              </w:rPr>
            </w:pPr>
            <w:r w:rsidRPr="00BF43ED">
              <w:rPr>
                <w:rFonts w:cs="Arial"/>
              </w:rPr>
              <w:t>54,389.00</w:t>
            </w:r>
          </w:p>
        </w:tc>
        <w:tc>
          <w:tcPr>
            <w:tcW w:w="1559" w:type="dxa"/>
            <w:tcBorders>
              <w:top w:val="nil"/>
              <w:left w:val="nil"/>
              <w:bottom w:val="nil"/>
              <w:right w:val="nil"/>
            </w:tcBorders>
            <w:shd w:val="clear" w:color="auto" w:fill="C0C0C0"/>
            <w:noWrap/>
            <w:vAlign w:val="center"/>
          </w:tcPr>
          <w:p w:rsidR="004D7FE2" w:rsidRPr="00BF43ED" w:rsidRDefault="00246846" w:rsidP="00246846">
            <w:pPr>
              <w:jc w:val="right"/>
              <w:rPr>
                <w:rFonts w:cs="Arial"/>
              </w:rPr>
            </w:pPr>
            <w:r>
              <w:rPr>
                <w:rFonts w:cs="Arial"/>
              </w:rPr>
              <w:t>n/a</w:t>
            </w:r>
          </w:p>
        </w:tc>
        <w:tc>
          <w:tcPr>
            <w:tcW w:w="1559" w:type="dxa"/>
            <w:tcBorders>
              <w:top w:val="nil"/>
              <w:left w:val="nil"/>
              <w:bottom w:val="nil"/>
              <w:right w:val="nil"/>
            </w:tcBorders>
            <w:shd w:val="clear" w:color="auto" w:fill="auto"/>
            <w:noWrap/>
            <w:vAlign w:val="center"/>
          </w:tcPr>
          <w:p w:rsidR="004D7FE2" w:rsidRPr="00BF43ED" w:rsidRDefault="004D7FE2" w:rsidP="008F52F7">
            <w:pPr>
              <w:jc w:val="right"/>
              <w:rPr>
                <w:rFonts w:cs="Arial"/>
              </w:rPr>
            </w:pPr>
            <w:r w:rsidRPr="00BF43ED">
              <w:rPr>
                <w:rFonts w:cs="Arial"/>
              </w:rPr>
              <w:t>1,</w:t>
            </w:r>
            <w:r w:rsidR="008F52F7">
              <w:rPr>
                <w:rFonts w:cs="Arial"/>
              </w:rPr>
              <w:t>316.67</w:t>
            </w:r>
          </w:p>
        </w:tc>
        <w:tc>
          <w:tcPr>
            <w:tcW w:w="1418" w:type="dxa"/>
            <w:tcBorders>
              <w:top w:val="nil"/>
              <w:left w:val="nil"/>
              <w:bottom w:val="nil"/>
              <w:right w:val="nil"/>
            </w:tcBorders>
            <w:shd w:val="clear" w:color="auto" w:fill="auto"/>
            <w:noWrap/>
            <w:vAlign w:val="center"/>
          </w:tcPr>
          <w:p w:rsidR="004D7FE2" w:rsidRPr="00BF43ED" w:rsidRDefault="004D7FE2" w:rsidP="008F52F7">
            <w:pPr>
              <w:jc w:val="right"/>
              <w:rPr>
                <w:rFonts w:cs="Arial"/>
              </w:rPr>
            </w:pPr>
            <w:r w:rsidRPr="00BF43ED">
              <w:rPr>
                <w:rFonts w:cs="Arial"/>
              </w:rPr>
              <w:t>55,</w:t>
            </w:r>
            <w:r w:rsidR="008F52F7">
              <w:rPr>
                <w:rFonts w:cs="Arial"/>
              </w:rPr>
              <w:t>705.67</w:t>
            </w:r>
          </w:p>
        </w:tc>
        <w:tc>
          <w:tcPr>
            <w:tcW w:w="1275" w:type="dxa"/>
            <w:tcBorders>
              <w:top w:val="nil"/>
              <w:left w:val="nil"/>
              <w:bottom w:val="nil"/>
              <w:right w:val="nil"/>
            </w:tcBorders>
            <w:shd w:val="clear" w:color="auto" w:fill="auto"/>
            <w:noWrap/>
            <w:vAlign w:val="center"/>
          </w:tcPr>
          <w:p w:rsidR="004D7FE2" w:rsidRPr="00BF43ED" w:rsidRDefault="004D7FE2" w:rsidP="008F52F7">
            <w:pPr>
              <w:jc w:val="right"/>
              <w:rPr>
                <w:rFonts w:cs="Arial"/>
              </w:rPr>
            </w:pPr>
            <w:r w:rsidRPr="00BF43ED">
              <w:rPr>
                <w:rFonts w:cs="Arial"/>
              </w:rPr>
              <w:t>2,9</w:t>
            </w:r>
            <w:r w:rsidR="008F52F7">
              <w:rPr>
                <w:rFonts w:cs="Arial"/>
              </w:rPr>
              <w:t>24.8</w:t>
            </w:r>
          </w:p>
        </w:tc>
        <w:tc>
          <w:tcPr>
            <w:tcW w:w="1276" w:type="dxa"/>
            <w:tcBorders>
              <w:top w:val="nil"/>
              <w:left w:val="nil"/>
              <w:bottom w:val="nil"/>
              <w:right w:val="single" w:sz="8" w:space="0" w:color="auto"/>
            </w:tcBorders>
            <w:shd w:val="clear" w:color="auto" w:fill="auto"/>
            <w:noWrap/>
            <w:vAlign w:val="center"/>
          </w:tcPr>
          <w:p w:rsidR="004D7FE2" w:rsidRPr="00BF43ED" w:rsidRDefault="004D7FE2" w:rsidP="008F52F7">
            <w:pPr>
              <w:jc w:val="right"/>
              <w:rPr>
                <w:rFonts w:cs="Arial"/>
              </w:rPr>
            </w:pPr>
            <w:r w:rsidRPr="00BF43ED">
              <w:rPr>
                <w:rFonts w:cs="Arial"/>
              </w:rPr>
              <w:t>1</w:t>
            </w:r>
            <w:r w:rsidR="008F52F7">
              <w:rPr>
                <w:rFonts w:cs="Arial"/>
              </w:rPr>
              <w:t>9.05</w:t>
            </w:r>
          </w:p>
        </w:tc>
      </w:tr>
      <w:tr w:rsidR="004C7062" w:rsidRPr="00BF43ED" w:rsidTr="00246846">
        <w:trPr>
          <w:trHeight w:val="450"/>
        </w:trPr>
        <w:tc>
          <w:tcPr>
            <w:tcW w:w="1560" w:type="dxa"/>
            <w:tcBorders>
              <w:top w:val="nil"/>
              <w:left w:val="single" w:sz="8" w:space="0" w:color="auto"/>
              <w:bottom w:val="nil"/>
              <w:right w:val="nil"/>
            </w:tcBorders>
            <w:shd w:val="clear" w:color="auto" w:fill="auto"/>
            <w:vAlign w:val="bottom"/>
          </w:tcPr>
          <w:p w:rsidR="004D7FE2" w:rsidRPr="00BF43ED" w:rsidRDefault="004D7FE2" w:rsidP="000D0150">
            <w:pPr>
              <w:rPr>
                <w:rFonts w:cs="Arial"/>
              </w:rPr>
            </w:pPr>
            <w:r w:rsidRPr="00BF43ED">
              <w:rPr>
                <w:rFonts w:cs="Arial"/>
              </w:rPr>
              <w:t>Unparished Area</w:t>
            </w:r>
          </w:p>
        </w:tc>
        <w:tc>
          <w:tcPr>
            <w:tcW w:w="1560" w:type="dxa"/>
            <w:tcBorders>
              <w:top w:val="nil"/>
              <w:left w:val="nil"/>
              <w:bottom w:val="nil"/>
              <w:right w:val="nil"/>
            </w:tcBorders>
            <w:shd w:val="clear" w:color="auto" w:fill="C0C0C0"/>
            <w:noWrap/>
            <w:vAlign w:val="center"/>
          </w:tcPr>
          <w:p w:rsidR="004D7FE2" w:rsidRPr="00BF43ED" w:rsidRDefault="00246846" w:rsidP="00246846">
            <w:pPr>
              <w:jc w:val="right"/>
              <w:rPr>
                <w:rFonts w:cs="Arial"/>
              </w:rPr>
            </w:pPr>
            <w:r>
              <w:rPr>
                <w:rFonts w:cs="Arial"/>
              </w:rPr>
              <w:t>n/a</w:t>
            </w:r>
          </w:p>
        </w:tc>
        <w:tc>
          <w:tcPr>
            <w:tcW w:w="1559" w:type="dxa"/>
            <w:tcBorders>
              <w:top w:val="nil"/>
              <w:left w:val="nil"/>
              <w:bottom w:val="nil"/>
              <w:right w:val="nil"/>
            </w:tcBorders>
            <w:shd w:val="clear" w:color="auto" w:fill="auto"/>
            <w:noWrap/>
            <w:vAlign w:val="center"/>
          </w:tcPr>
          <w:p w:rsidR="004D7FE2" w:rsidRPr="00BF43ED" w:rsidRDefault="004D7FE2" w:rsidP="008F52F7">
            <w:pPr>
              <w:jc w:val="right"/>
              <w:rPr>
                <w:rFonts w:cs="Arial"/>
              </w:rPr>
            </w:pPr>
            <w:r w:rsidRPr="00BF43ED">
              <w:rPr>
                <w:rFonts w:cs="Arial"/>
              </w:rPr>
              <w:t>6</w:t>
            </w:r>
            <w:r w:rsidR="008F52F7">
              <w:rPr>
                <w:rFonts w:cs="Arial"/>
              </w:rPr>
              <w:t>12,859.25</w:t>
            </w:r>
          </w:p>
        </w:tc>
        <w:tc>
          <w:tcPr>
            <w:tcW w:w="1559" w:type="dxa"/>
            <w:tcBorders>
              <w:top w:val="nil"/>
              <w:left w:val="nil"/>
              <w:bottom w:val="nil"/>
              <w:right w:val="nil"/>
            </w:tcBorders>
            <w:shd w:val="clear" w:color="auto" w:fill="auto"/>
            <w:noWrap/>
            <w:vAlign w:val="center"/>
          </w:tcPr>
          <w:p w:rsidR="004D7FE2" w:rsidRPr="00BF43ED" w:rsidRDefault="004D7FE2" w:rsidP="008F52F7">
            <w:pPr>
              <w:jc w:val="right"/>
              <w:rPr>
                <w:rFonts w:cs="Arial"/>
              </w:rPr>
            </w:pPr>
            <w:r w:rsidRPr="00BF43ED">
              <w:rPr>
                <w:rFonts w:cs="Arial"/>
              </w:rPr>
              <w:t>1</w:t>
            </w:r>
            <w:r w:rsidR="008F52F7">
              <w:rPr>
                <w:rFonts w:cs="Arial"/>
              </w:rPr>
              <w:t>7,162.74</w:t>
            </w:r>
          </w:p>
        </w:tc>
        <w:tc>
          <w:tcPr>
            <w:tcW w:w="1418" w:type="dxa"/>
            <w:tcBorders>
              <w:top w:val="nil"/>
              <w:left w:val="nil"/>
              <w:bottom w:val="nil"/>
              <w:right w:val="nil"/>
            </w:tcBorders>
            <w:shd w:val="clear" w:color="auto" w:fill="auto"/>
            <w:noWrap/>
            <w:vAlign w:val="center"/>
          </w:tcPr>
          <w:p w:rsidR="004D7FE2" w:rsidRPr="00BF43ED" w:rsidRDefault="004D7FE2" w:rsidP="008F52F7">
            <w:pPr>
              <w:jc w:val="right"/>
              <w:rPr>
                <w:rFonts w:cs="Arial"/>
              </w:rPr>
            </w:pPr>
            <w:r w:rsidRPr="00BF43ED">
              <w:rPr>
                <w:rFonts w:cs="Arial"/>
              </w:rPr>
              <w:t>6</w:t>
            </w:r>
            <w:r w:rsidR="008F52F7">
              <w:rPr>
                <w:rFonts w:cs="Arial"/>
              </w:rPr>
              <w:t>30,021.99</w:t>
            </w:r>
          </w:p>
        </w:tc>
        <w:tc>
          <w:tcPr>
            <w:tcW w:w="1275" w:type="dxa"/>
            <w:tcBorders>
              <w:top w:val="nil"/>
              <w:left w:val="nil"/>
              <w:bottom w:val="nil"/>
              <w:right w:val="nil"/>
            </w:tcBorders>
            <w:shd w:val="clear" w:color="auto" w:fill="auto"/>
            <w:noWrap/>
            <w:vAlign w:val="center"/>
          </w:tcPr>
          <w:p w:rsidR="004D7FE2" w:rsidRPr="00BF43ED" w:rsidRDefault="004D7FE2" w:rsidP="008F52F7">
            <w:pPr>
              <w:jc w:val="right"/>
              <w:rPr>
                <w:rFonts w:cs="Arial"/>
              </w:rPr>
            </w:pPr>
            <w:r w:rsidRPr="00BF43ED">
              <w:rPr>
                <w:rFonts w:cs="Arial"/>
              </w:rPr>
              <w:t>38,</w:t>
            </w:r>
            <w:r w:rsidR="008F52F7">
              <w:rPr>
                <w:rFonts w:cs="Arial"/>
              </w:rPr>
              <w:t>124.7</w:t>
            </w:r>
          </w:p>
        </w:tc>
        <w:tc>
          <w:tcPr>
            <w:tcW w:w="1276" w:type="dxa"/>
            <w:tcBorders>
              <w:top w:val="nil"/>
              <w:left w:val="nil"/>
              <w:bottom w:val="nil"/>
              <w:right w:val="single" w:sz="8" w:space="0" w:color="auto"/>
            </w:tcBorders>
            <w:shd w:val="clear" w:color="auto" w:fill="auto"/>
            <w:noWrap/>
            <w:vAlign w:val="center"/>
          </w:tcPr>
          <w:p w:rsidR="004D7FE2" w:rsidRPr="00BF43ED" w:rsidRDefault="004D7FE2" w:rsidP="008F52F7">
            <w:pPr>
              <w:jc w:val="right"/>
              <w:rPr>
                <w:rFonts w:cs="Arial"/>
              </w:rPr>
            </w:pPr>
            <w:r w:rsidRPr="00BF43ED">
              <w:rPr>
                <w:rFonts w:cs="Arial"/>
              </w:rPr>
              <w:t>16.</w:t>
            </w:r>
            <w:r w:rsidR="008F52F7">
              <w:rPr>
                <w:rFonts w:cs="Arial"/>
              </w:rPr>
              <w:t>53</w:t>
            </w:r>
          </w:p>
        </w:tc>
      </w:tr>
      <w:tr w:rsidR="004C7062" w:rsidRPr="00BF43ED" w:rsidTr="00246846">
        <w:trPr>
          <w:trHeight w:val="270"/>
        </w:trPr>
        <w:tc>
          <w:tcPr>
            <w:tcW w:w="1560" w:type="dxa"/>
            <w:tcBorders>
              <w:top w:val="nil"/>
              <w:left w:val="single" w:sz="8" w:space="0" w:color="auto"/>
              <w:bottom w:val="single" w:sz="8" w:space="0" w:color="auto"/>
              <w:right w:val="nil"/>
            </w:tcBorders>
            <w:shd w:val="clear" w:color="auto" w:fill="auto"/>
            <w:noWrap/>
            <w:vAlign w:val="bottom"/>
          </w:tcPr>
          <w:p w:rsidR="004D7FE2" w:rsidRPr="00BF43ED" w:rsidRDefault="004D7FE2" w:rsidP="000D0150">
            <w:pPr>
              <w:rPr>
                <w:rFonts w:cs="Arial"/>
                <w:b/>
                <w:bCs/>
              </w:rPr>
            </w:pPr>
            <w:r w:rsidRPr="00BF43ED">
              <w:rPr>
                <w:rFonts w:cs="Arial"/>
                <w:b/>
                <w:bCs/>
              </w:rPr>
              <w:t>TOTAL</w:t>
            </w:r>
          </w:p>
        </w:tc>
        <w:tc>
          <w:tcPr>
            <w:tcW w:w="1560" w:type="dxa"/>
            <w:tcBorders>
              <w:top w:val="nil"/>
              <w:left w:val="nil"/>
              <w:bottom w:val="single" w:sz="8" w:space="0" w:color="auto"/>
              <w:right w:val="nil"/>
            </w:tcBorders>
            <w:shd w:val="clear" w:color="auto" w:fill="auto"/>
            <w:noWrap/>
            <w:vAlign w:val="center"/>
          </w:tcPr>
          <w:p w:rsidR="004D7FE2" w:rsidRPr="00BF43ED" w:rsidRDefault="004D7FE2" w:rsidP="008F52F7">
            <w:pPr>
              <w:jc w:val="right"/>
              <w:rPr>
                <w:rFonts w:cs="Arial"/>
                <w:b/>
                <w:bCs/>
              </w:rPr>
            </w:pPr>
            <w:r w:rsidRPr="00BF43ED">
              <w:rPr>
                <w:rFonts w:cs="Arial"/>
                <w:b/>
                <w:bCs/>
              </w:rPr>
              <w:t>27</w:t>
            </w:r>
            <w:r w:rsidR="008F52F7">
              <w:rPr>
                <w:rFonts w:cs="Arial"/>
                <w:b/>
                <w:bCs/>
              </w:rPr>
              <w:t>7,834.00</w:t>
            </w:r>
          </w:p>
        </w:tc>
        <w:tc>
          <w:tcPr>
            <w:tcW w:w="1559" w:type="dxa"/>
            <w:tcBorders>
              <w:top w:val="nil"/>
              <w:left w:val="nil"/>
              <w:bottom w:val="single" w:sz="8" w:space="0" w:color="auto"/>
              <w:right w:val="nil"/>
            </w:tcBorders>
            <w:shd w:val="clear" w:color="auto" w:fill="auto"/>
            <w:noWrap/>
            <w:vAlign w:val="center"/>
          </w:tcPr>
          <w:p w:rsidR="004D7FE2" w:rsidRPr="00BF43ED" w:rsidRDefault="004D7FE2" w:rsidP="008F52F7">
            <w:pPr>
              <w:jc w:val="right"/>
              <w:rPr>
                <w:rFonts w:cs="Arial"/>
                <w:b/>
                <w:bCs/>
              </w:rPr>
            </w:pPr>
            <w:r w:rsidRPr="00BF43ED">
              <w:rPr>
                <w:rFonts w:cs="Arial"/>
                <w:b/>
                <w:bCs/>
              </w:rPr>
              <w:t>6</w:t>
            </w:r>
            <w:r w:rsidR="008F52F7">
              <w:rPr>
                <w:rFonts w:cs="Arial"/>
                <w:b/>
                <w:bCs/>
              </w:rPr>
              <w:t>12,859.25</w:t>
            </w:r>
          </w:p>
        </w:tc>
        <w:tc>
          <w:tcPr>
            <w:tcW w:w="1559" w:type="dxa"/>
            <w:tcBorders>
              <w:top w:val="nil"/>
              <w:left w:val="nil"/>
              <w:bottom w:val="single" w:sz="8" w:space="0" w:color="auto"/>
              <w:right w:val="nil"/>
            </w:tcBorders>
            <w:shd w:val="clear" w:color="auto" w:fill="auto"/>
            <w:noWrap/>
            <w:vAlign w:val="center"/>
          </w:tcPr>
          <w:p w:rsidR="004D7FE2" w:rsidRPr="00BF43ED" w:rsidRDefault="004D7FE2" w:rsidP="008F52F7">
            <w:pPr>
              <w:jc w:val="right"/>
              <w:rPr>
                <w:rFonts w:cs="Arial"/>
                <w:b/>
                <w:bCs/>
              </w:rPr>
            </w:pPr>
            <w:r w:rsidRPr="00BF43ED">
              <w:rPr>
                <w:rFonts w:cs="Arial"/>
                <w:b/>
                <w:bCs/>
              </w:rPr>
              <w:t>2</w:t>
            </w:r>
            <w:r w:rsidR="008F52F7">
              <w:rPr>
                <w:rFonts w:cs="Arial"/>
                <w:b/>
                <w:bCs/>
              </w:rPr>
              <w:t>0,000.00</w:t>
            </w:r>
          </w:p>
        </w:tc>
        <w:tc>
          <w:tcPr>
            <w:tcW w:w="1418" w:type="dxa"/>
            <w:tcBorders>
              <w:top w:val="nil"/>
              <w:left w:val="nil"/>
              <w:bottom w:val="single" w:sz="8" w:space="0" w:color="auto"/>
              <w:right w:val="nil"/>
            </w:tcBorders>
            <w:shd w:val="clear" w:color="auto" w:fill="auto"/>
            <w:noWrap/>
            <w:vAlign w:val="center"/>
          </w:tcPr>
          <w:p w:rsidR="004D7FE2" w:rsidRPr="00BF43ED" w:rsidRDefault="004D7FE2" w:rsidP="008F52F7">
            <w:pPr>
              <w:jc w:val="right"/>
              <w:rPr>
                <w:rFonts w:cs="Arial"/>
                <w:b/>
                <w:bCs/>
              </w:rPr>
            </w:pPr>
            <w:r w:rsidRPr="00BF43ED">
              <w:rPr>
                <w:rFonts w:cs="Arial"/>
                <w:b/>
                <w:bCs/>
              </w:rPr>
              <w:t>9</w:t>
            </w:r>
            <w:r w:rsidR="008F52F7">
              <w:rPr>
                <w:rFonts w:cs="Arial"/>
                <w:b/>
                <w:bCs/>
              </w:rPr>
              <w:t>10,693.25</w:t>
            </w:r>
          </w:p>
        </w:tc>
        <w:tc>
          <w:tcPr>
            <w:tcW w:w="1275" w:type="dxa"/>
            <w:tcBorders>
              <w:top w:val="nil"/>
              <w:left w:val="nil"/>
              <w:bottom w:val="single" w:sz="8" w:space="0" w:color="auto"/>
              <w:right w:val="nil"/>
            </w:tcBorders>
            <w:shd w:val="clear" w:color="auto" w:fill="auto"/>
            <w:noWrap/>
            <w:vAlign w:val="center"/>
          </w:tcPr>
          <w:p w:rsidR="004D7FE2" w:rsidRPr="00BF43ED" w:rsidRDefault="004D7FE2" w:rsidP="008F52F7">
            <w:pPr>
              <w:jc w:val="right"/>
              <w:rPr>
                <w:rFonts w:cs="Arial"/>
                <w:b/>
                <w:bCs/>
              </w:rPr>
            </w:pPr>
            <w:r w:rsidRPr="00BF43ED">
              <w:rPr>
                <w:rFonts w:cs="Arial"/>
                <w:b/>
                <w:bCs/>
              </w:rPr>
              <w:t>45,</w:t>
            </w:r>
            <w:r w:rsidR="008F52F7">
              <w:rPr>
                <w:rFonts w:cs="Arial"/>
                <w:b/>
                <w:bCs/>
              </w:rPr>
              <w:t>705.6</w:t>
            </w:r>
          </w:p>
        </w:tc>
        <w:tc>
          <w:tcPr>
            <w:tcW w:w="1276" w:type="dxa"/>
            <w:tcBorders>
              <w:top w:val="nil"/>
              <w:left w:val="nil"/>
              <w:bottom w:val="single" w:sz="8" w:space="0" w:color="auto"/>
              <w:right w:val="single" w:sz="8" w:space="0" w:color="auto"/>
            </w:tcBorders>
            <w:shd w:val="clear" w:color="auto" w:fill="auto"/>
            <w:noWrap/>
            <w:vAlign w:val="center"/>
          </w:tcPr>
          <w:p w:rsidR="004D7FE2" w:rsidRPr="00BF43ED" w:rsidRDefault="004D7FE2" w:rsidP="00246846">
            <w:pPr>
              <w:jc w:val="right"/>
              <w:rPr>
                <w:rFonts w:cs="Arial"/>
              </w:rPr>
            </w:pPr>
          </w:p>
        </w:tc>
      </w:tr>
    </w:tbl>
    <w:p w:rsidR="004D7FE2" w:rsidRDefault="004D7FE2" w:rsidP="00D95A35"/>
    <w:p w:rsidR="00104E1F" w:rsidRDefault="001252B6" w:rsidP="00104E1F">
      <w:pPr>
        <w:pStyle w:val="Heading1"/>
      </w:pPr>
      <w:r>
        <w:t>Old Marston Parish</w:t>
      </w:r>
    </w:p>
    <w:p w:rsidR="00104E1F" w:rsidRDefault="00104E1F" w:rsidP="00104E1F">
      <w:pPr>
        <w:pStyle w:val="bParagraphtext"/>
      </w:pPr>
      <w:r>
        <w:t>The May 2002 Guidance Note issued by Central Government (Dept. of Transport, Local Government and the Regions) on Financial Arrangements with Parish and Town Councils outlined principles that should be followed in financial arrangements between District and Parish Councils. These include:</w:t>
      </w:r>
    </w:p>
    <w:p w:rsidR="00104E1F" w:rsidRPr="001252B6" w:rsidRDefault="00104E1F" w:rsidP="001252B6">
      <w:pPr>
        <w:pStyle w:val="Bulletpoints"/>
      </w:pPr>
      <w:r w:rsidRPr="001252B6">
        <w:t>Fairness in the provision of services (and access to them) by the principal authority between different parts of their area</w:t>
      </w:r>
    </w:p>
    <w:p w:rsidR="00104E1F" w:rsidRDefault="00104E1F" w:rsidP="001252B6">
      <w:pPr>
        <w:pStyle w:val="Bulletpoints"/>
      </w:pPr>
      <w:r w:rsidRPr="001252B6">
        <w:t>Democratic</w:t>
      </w:r>
      <w:r w:rsidRPr="00104E1F">
        <w:t xml:space="preserve"> control and accountability – to let local councils support additional services with additional</w:t>
      </w:r>
      <w:r>
        <w:t xml:space="preserve"> expenditure</w:t>
      </w:r>
    </w:p>
    <w:p w:rsidR="00104E1F" w:rsidRDefault="00104E1F" w:rsidP="00104E1F">
      <w:pPr>
        <w:pStyle w:val="bParagraphtext"/>
      </w:pPr>
      <w:r>
        <w:t>Old Marston Parish Council subsequently made a successful case to the Council for a contribution to the Parish in recognition of the additional expenditure that the Parish incurs in relation to maintaining the cemetery within the Parish. The use of the cemetery is not restricted to residents of that Parish; hence a contribution has been made to reduce the parish precept in recognition of this fact since 2008/09. For 202</w:t>
      </w:r>
      <w:r w:rsidR="00242CB5">
        <w:t>1/22</w:t>
      </w:r>
      <w:r>
        <w:t xml:space="preserve"> the Old Marston Parish Precept has been calculated as £70,969.00 and a recommendation is made to Council to reduce this by £10,000 to £60,969.00.</w:t>
      </w:r>
    </w:p>
    <w:p w:rsidR="00104E1F" w:rsidRDefault="001252B6" w:rsidP="001252B6">
      <w:pPr>
        <w:pStyle w:val="Heading1"/>
      </w:pPr>
      <w:r>
        <w:t>Unparished areas of the city</w:t>
      </w:r>
    </w:p>
    <w:p w:rsidR="00104E1F" w:rsidRDefault="00104E1F" w:rsidP="001252B6">
      <w:pPr>
        <w:pStyle w:val="bParagraphtext"/>
      </w:pPr>
      <w:r>
        <w:t>Only part</w:t>
      </w:r>
      <w:r w:rsidR="004D07BF">
        <w:t xml:space="preserve"> of the city area is </w:t>
      </w:r>
      <w:proofErr w:type="spellStart"/>
      <w:r w:rsidR="004D07BF">
        <w:t>parished</w:t>
      </w:r>
      <w:proofErr w:type="spellEnd"/>
      <w:r w:rsidR="004D07BF">
        <w:t xml:space="preserve">. </w:t>
      </w:r>
      <w:r>
        <w:t xml:space="preserve">In the Unparished Area the City Council itself undertakes the parish functions. Section 35 (2) of the Local Government Finance Act 1992, states that ‘special expenses’ should be calculated when there are “any expenses incurred by a billing authority in performing in a part of its area a function performed elsewhere in its area by …….a parish”. </w:t>
      </w:r>
    </w:p>
    <w:p w:rsidR="00104E1F" w:rsidRDefault="00104E1F" w:rsidP="001252B6">
      <w:pPr>
        <w:pStyle w:val="bParagraphtext"/>
      </w:pPr>
      <w:r>
        <w:lastRenderedPageBreak/>
        <w:t>Within the city area the services shown in the table below are currently provided by at least one Parish Council. To avoid double charging for the cost of providing these services, a special expense - equivalent to the cost of providing these services elsewhere in the City - is levied on t</w:t>
      </w:r>
      <w:r w:rsidR="001252B6">
        <w:t>hose areas not providing them.</w:t>
      </w:r>
    </w:p>
    <w:p w:rsidR="00104E1F" w:rsidRDefault="009D3679" w:rsidP="00104E1F">
      <w:pPr>
        <w:pStyle w:val="bParagraphtext"/>
      </w:pPr>
      <w:r>
        <w:t>Table 4</w:t>
      </w:r>
      <w:r w:rsidR="00104E1F">
        <w:t xml:space="preserve"> below sets out the Special Expenses Account:</w:t>
      </w:r>
    </w:p>
    <w:p w:rsidR="009D3679" w:rsidRDefault="009D3679" w:rsidP="009D3679">
      <w:pPr>
        <w:pStyle w:val="bParagraphtext"/>
        <w:numPr>
          <w:ilvl w:val="0"/>
          <w:numId w:val="0"/>
        </w:numPr>
        <w:ind w:left="426" w:hanging="426"/>
      </w:pPr>
    </w:p>
    <w:p w:rsidR="009D3679" w:rsidRPr="00AF74D9" w:rsidRDefault="00AF74D9" w:rsidP="00AF74D9">
      <w:pPr>
        <w:ind w:left="720"/>
        <w:rPr>
          <w:b/>
        </w:rPr>
      </w:pPr>
      <w:r w:rsidRPr="00AF74D9">
        <w:rPr>
          <w:b/>
        </w:rPr>
        <w:t>Table 4 Special Expenses Estimate 2021-22</w:t>
      </w:r>
    </w:p>
    <w:p w:rsidR="00AF74D9" w:rsidRDefault="00AF74D9" w:rsidP="00AF74D9"/>
    <w:tbl>
      <w:tblPr>
        <w:tblStyle w:val="TableGrid"/>
        <w:tblW w:w="8217" w:type="dxa"/>
        <w:tblInd w:w="607" w:type="dxa"/>
        <w:tblLook w:val="04A0" w:firstRow="1" w:lastRow="0" w:firstColumn="1" w:lastColumn="0" w:noHBand="0" w:noVBand="1"/>
      </w:tblPr>
      <w:tblGrid>
        <w:gridCol w:w="3096"/>
        <w:gridCol w:w="2428"/>
        <w:gridCol w:w="2693"/>
      </w:tblGrid>
      <w:tr w:rsidR="00AF74D9" w:rsidRPr="00AF74D9" w:rsidTr="00246846">
        <w:trPr>
          <w:tblHeader/>
        </w:trPr>
        <w:tc>
          <w:tcPr>
            <w:tcW w:w="3096" w:type="dxa"/>
          </w:tcPr>
          <w:p w:rsidR="00AF74D9" w:rsidRPr="00AF74D9" w:rsidRDefault="00AF74D9" w:rsidP="00293239"/>
        </w:tc>
        <w:tc>
          <w:tcPr>
            <w:tcW w:w="2428" w:type="dxa"/>
          </w:tcPr>
          <w:p w:rsidR="00AF74D9" w:rsidRPr="00AF74D9" w:rsidRDefault="00AF74D9" w:rsidP="001D6A56">
            <w:pPr>
              <w:rPr>
                <w:b/>
              </w:rPr>
            </w:pPr>
            <w:r w:rsidRPr="00AF74D9">
              <w:rPr>
                <w:b/>
              </w:rPr>
              <w:t>Total Special Expenses 202</w:t>
            </w:r>
            <w:r w:rsidR="001D6A56">
              <w:rPr>
                <w:b/>
              </w:rPr>
              <w:t>1-22</w:t>
            </w:r>
          </w:p>
        </w:tc>
        <w:tc>
          <w:tcPr>
            <w:tcW w:w="2693" w:type="dxa"/>
          </w:tcPr>
          <w:p w:rsidR="00AF74D9" w:rsidRPr="00AF74D9" w:rsidRDefault="00AF74D9" w:rsidP="00030F98">
            <w:pPr>
              <w:rPr>
                <w:b/>
              </w:rPr>
            </w:pPr>
            <w:r w:rsidRPr="00AF74D9">
              <w:rPr>
                <w:b/>
              </w:rPr>
              <w:t>Total Special Expenses 20</w:t>
            </w:r>
            <w:r w:rsidR="00030F98">
              <w:rPr>
                <w:b/>
              </w:rPr>
              <w:t>20-21</w:t>
            </w:r>
          </w:p>
        </w:tc>
      </w:tr>
      <w:tr w:rsidR="00AF74D9" w:rsidRPr="00AF74D9" w:rsidTr="00AF74D9">
        <w:tc>
          <w:tcPr>
            <w:tcW w:w="3096" w:type="dxa"/>
          </w:tcPr>
          <w:p w:rsidR="00AF74D9" w:rsidRPr="00AF74D9" w:rsidRDefault="00AF74D9" w:rsidP="00293239">
            <w:r w:rsidRPr="00AF74D9">
              <w:t>Community Recreation</w:t>
            </w:r>
          </w:p>
        </w:tc>
        <w:tc>
          <w:tcPr>
            <w:tcW w:w="2428" w:type="dxa"/>
          </w:tcPr>
          <w:p w:rsidR="00AF74D9" w:rsidRPr="00AF74D9" w:rsidRDefault="00AF74D9" w:rsidP="00030F98">
            <w:r w:rsidRPr="00AF74D9">
              <w:t>3</w:t>
            </w:r>
            <w:r w:rsidR="00030F98">
              <w:t>22,894.00</w:t>
            </w:r>
          </w:p>
        </w:tc>
        <w:tc>
          <w:tcPr>
            <w:tcW w:w="2693" w:type="dxa"/>
          </w:tcPr>
          <w:p w:rsidR="00AF74D9" w:rsidRPr="00AF74D9" w:rsidRDefault="00030F98" w:rsidP="00030F98">
            <w:r>
              <w:t>313,430.00</w:t>
            </w:r>
          </w:p>
        </w:tc>
      </w:tr>
      <w:tr w:rsidR="00AF74D9" w:rsidRPr="00AF74D9" w:rsidTr="00AF74D9">
        <w:tc>
          <w:tcPr>
            <w:tcW w:w="3096" w:type="dxa"/>
          </w:tcPr>
          <w:p w:rsidR="00AF74D9" w:rsidRPr="00AF74D9" w:rsidRDefault="00AF74D9" w:rsidP="00293239">
            <w:r w:rsidRPr="00AF74D9">
              <w:t>Parks Management</w:t>
            </w:r>
          </w:p>
        </w:tc>
        <w:tc>
          <w:tcPr>
            <w:tcW w:w="2428" w:type="dxa"/>
          </w:tcPr>
          <w:p w:rsidR="00AF74D9" w:rsidRPr="00AF74D9" w:rsidRDefault="00030F98" w:rsidP="00030F98">
            <w:r>
              <w:t>7,404.00</w:t>
            </w:r>
          </w:p>
        </w:tc>
        <w:tc>
          <w:tcPr>
            <w:tcW w:w="2693" w:type="dxa"/>
          </w:tcPr>
          <w:p w:rsidR="00AF74D9" w:rsidRPr="00AF74D9" w:rsidRDefault="00030F98" w:rsidP="00030F98">
            <w:r>
              <w:t>9,348.00</w:t>
            </w:r>
          </w:p>
        </w:tc>
      </w:tr>
      <w:tr w:rsidR="00AF74D9" w:rsidRPr="00AF74D9" w:rsidTr="00AF74D9">
        <w:tc>
          <w:tcPr>
            <w:tcW w:w="3096" w:type="dxa"/>
          </w:tcPr>
          <w:p w:rsidR="00AF74D9" w:rsidRPr="00AF74D9" w:rsidRDefault="00AF74D9" w:rsidP="00293239">
            <w:r w:rsidRPr="00AF74D9">
              <w:t>Grounds</w:t>
            </w:r>
          </w:p>
        </w:tc>
        <w:tc>
          <w:tcPr>
            <w:tcW w:w="2428" w:type="dxa"/>
          </w:tcPr>
          <w:p w:rsidR="00AF74D9" w:rsidRPr="00AF74D9" w:rsidRDefault="00AF74D9" w:rsidP="00030F98">
            <w:r w:rsidRPr="00AF74D9">
              <w:t>7</w:t>
            </w:r>
            <w:r w:rsidR="00030F98">
              <w:t>7,390.25</w:t>
            </w:r>
          </w:p>
        </w:tc>
        <w:tc>
          <w:tcPr>
            <w:tcW w:w="2693" w:type="dxa"/>
          </w:tcPr>
          <w:p w:rsidR="00AF74D9" w:rsidRPr="00AF74D9" w:rsidRDefault="00AF74D9" w:rsidP="00030F98">
            <w:r w:rsidRPr="00AF74D9">
              <w:t>7</w:t>
            </w:r>
            <w:r w:rsidR="00030F98">
              <w:t>9,040.00</w:t>
            </w:r>
          </w:p>
        </w:tc>
      </w:tr>
      <w:tr w:rsidR="00AF74D9" w:rsidRPr="00AF74D9" w:rsidTr="00AF74D9">
        <w:tc>
          <w:tcPr>
            <w:tcW w:w="3096" w:type="dxa"/>
          </w:tcPr>
          <w:p w:rsidR="00AF74D9" w:rsidRPr="00AF74D9" w:rsidRDefault="00AF74D9" w:rsidP="00293239">
            <w:r w:rsidRPr="00AF74D9">
              <w:t>Allotments</w:t>
            </w:r>
          </w:p>
        </w:tc>
        <w:tc>
          <w:tcPr>
            <w:tcW w:w="2428" w:type="dxa"/>
          </w:tcPr>
          <w:p w:rsidR="00AF74D9" w:rsidRPr="00AF74D9" w:rsidRDefault="00030F98" w:rsidP="00030F98">
            <w:r>
              <w:t>37,171.00</w:t>
            </w:r>
          </w:p>
        </w:tc>
        <w:tc>
          <w:tcPr>
            <w:tcW w:w="2693" w:type="dxa"/>
          </w:tcPr>
          <w:p w:rsidR="00AF74D9" w:rsidRPr="00AF74D9" w:rsidRDefault="00030F98" w:rsidP="00030F98">
            <w:r>
              <w:t>20,392.00</w:t>
            </w:r>
          </w:p>
        </w:tc>
      </w:tr>
      <w:tr w:rsidR="00AF74D9" w:rsidRPr="00AF74D9" w:rsidTr="00AF74D9">
        <w:tc>
          <w:tcPr>
            <w:tcW w:w="3096" w:type="dxa"/>
          </w:tcPr>
          <w:p w:rsidR="00AF74D9" w:rsidRPr="00AF74D9" w:rsidRDefault="00AF74D9" w:rsidP="00293239">
            <w:r w:rsidRPr="00AF74D9">
              <w:t>Ditches and Streams</w:t>
            </w:r>
          </w:p>
        </w:tc>
        <w:tc>
          <w:tcPr>
            <w:tcW w:w="2428" w:type="dxa"/>
          </w:tcPr>
          <w:p w:rsidR="00AF74D9" w:rsidRPr="00AF74D9" w:rsidRDefault="00AF74D9" w:rsidP="00030F98">
            <w:r w:rsidRPr="00AF74D9">
              <w:t>6</w:t>
            </w:r>
            <w:r w:rsidR="00030F98">
              <w:t>3,000.00</w:t>
            </w:r>
          </w:p>
        </w:tc>
        <w:tc>
          <w:tcPr>
            <w:tcW w:w="2693" w:type="dxa"/>
          </w:tcPr>
          <w:p w:rsidR="00AF74D9" w:rsidRPr="00AF74D9" w:rsidRDefault="00AF74D9" w:rsidP="00030F98">
            <w:r w:rsidRPr="00AF74D9">
              <w:t>6</w:t>
            </w:r>
            <w:r w:rsidR="00030F98">
              <w:t>8,879.00</w:t>
            </w:r>
          </w:p>
        </w:tc>
      </w:tr>
      <w:tr w:rsidR="00AF74D9" w:rsidRPr="00AF74D9" w:rsidTr="00AF74D9">
        <w:tc>
          <w:tcPr>
            <w:tcW w:w="3096" w:type="dxa"/>
          </w:tcPr>
          <w:p w:rsidR="00AF74D9" w:rsidRPr="00AF74D9" w:rsidRDefault="00AF74D9" w:rsidP="00293239">
            <w:r w:rsidRPr="00AF74D9">
              <w:t>Cemeteries</w:t>
            </w:r>
          </w:p>
        </w:tc>
        <w:tc>
          <w:tcPr>
            <w:tcW w:w="2428" w:type="dxa"/>
          </w:tcPr>
          <w:p w:rsidR="00AF74D9" w:rsidRPr="00AF74D9" w:rsidRDefault="00AF74D9" w:rsidP="00030F98">
            <w:r w:rsidRPr="00AF74D9">
              <w:t>2</w:t>
            </w:r>
            <w:r w:rsidR="00030F98">
              <w:t>0,000.00</w:t>
            </w:r>
          </w:p>
        </w:tc>
        <w:tc>
          <w:tcPr>
            <w:tcW w:w="2693" w:type="dxa"/>
          </w:tcPr>
          <w:p w:rsidR="00AF74D9" w:rsidRPr="00AF74D9" w:rsidRDefault="00AF74D9" w:rsidP="00293239">
            <w:r w:rsidRPr="00AF74D9">
              <w:t>21,966</w:t>
            </w:r>
            <w:r w:rsidR="00030F98">
              <w:t>.00</w:t>
            </w:r>
          </w:p>
        </w:tc>
      </w:tr>
      <w:tr w:rsidR="00AF74D9" w:rsidRPr="00AF74D9" w:rsidTr="00AF74D9">
        <w:tc>
          <w:tcPr>
            <w:tcW w:w="3096" w:type="dxa"/>
          </w:tcPr>
          <w:p w:rsidR="00AF74D9" w:rsidRPr="00AF74D9" w:rsidRDefault="00AF74D9" w:rsidP="00293239">
            <w:r w:rsidRPr="00AF74D9">
              <w:t>Street Furniture</w:t>
            </w:r>
          </w:p>
        </w:tc>
        <w:tc>
          <w:tcPr>
            <w:tcW w:w="2428" w:type="dxa"/>
          </w:tcPr>
          <w:p w:rsidR="00AF74D9" w:rsidRPr="00AF74D9" w:rsidRDefault="00AF74D9" w:rsidP="00030F98">
            <w:r w:rsidRPr="00AF74D9">
              <w:t>1</w:t>
            </w:r>
            <w:r w:rsidR="00030F98">
              <w:t>05,000.00</w:t>
            </w:r>
          </w:p>
        </w:tc>
        <w:tc>
          <w:tcPr>
            <w:tcW w:w="2693" w:type="dxa"/>
          </w:tcPr>
          <w:p w:rsidR="00AF74D9" w:rsidRPr="00AF74D9" w:rsidRDefault="00AF74D9" w:rsidP="00293239">
            <w:r w:rsidRPr="00AF74D9">
              <w:t>110,250</w:t>
            </w:r>
            <w:r w:rsidR="00030F98">
              <w:t>.00</w:t>
            </w:r>
          </w:p>
        </w:tc>
      </w:tr>
      <w:tr w:rsidR="00AF74D9" w:rsidRPr="00AF74D9" w:rsidTr="00AF74D9">
        <w:tc>
          <w:tcPr>
            <w:tcW w:w="3096" w:type="dxa"/>
          </w:tcPr>
          <w:p w:rsidR="00AF74D9" w:rsidRPr="00AF74D9" w:rsidRDefault="00AF74D9" w:rsidP="00293239">
            <w:pPr>
              <w:rPr>
                <w:b/>
              </w:rPr>
            </w:pPr>
            <w:r w:rsidRPr="00AF74D9">
              <w:rPr>
                <w:b/>
              </w:rPr>
              <w:t>Total</w:t>
            </w:r>
          </w:p>
        </w:tc>
        <w:tc>
          <w:tcPr>
            <w:tcW w:w="2428" w:type="dxa"/>
          </w:tcPr>
          <w:p w:rsidR="00AF74D9" w:rsidRPr="00AF74D9" w:rsidRDefault="00AF74D9" w:rsidP="00030F98">
            <w:pPr>
              <w:rPr>
                <w:b/>
              </w:rPr>
            </w:pPr>
            <w:r w:rsidRPr="00AF74D9">
              <w:rPr>
                <w:b/>
              </w:rPr>
              <w:t>6</w:t>
            </w:r>
            <w:r w:rsidR="00030F98">
              <w:rPr>
                <w:b/>
              </w:rPr>
              <w:t>32,859.25</w:t>
            </w:r>
          </w:p>
        </w:tc>
        <w:tc>
          <w:tcPr>
            <w:tcW w:w="2693" w:type="dxa"/>
          </w:tcPr>
          <w:p w:rsidR="00AF74D9" w:rsidRPr="00AF74D9" w:rsidRDefault="00AF74D9" w:rsidP="00030F98">
            <w:pPr>
              <w:rPr>
                <w:b/>
              </w:rPr>
            </w:pPr>
            <w:r w:rsidRPr="00AF74D9">
              <w:rPr>
                <w:b/>
              </w:rPr>
              <w:t>6</w:t>
            </w:r>
            <w:r w:rsidR="00030F98">
              <w:rPr>
                <w:b/>
              </w:rPr>
              <w:t>23,305.00</w:t>
            </w:r>
          </w:p>
        </w:tc>
      </w:tr>
    </w:tbl>
    <w:p w:rsidR="009D3679" w:rsidRDefault="009D3679" w:rsidP="00D95A35"/>
    <w:p w:rsidR="00104E1F" w:rsidRDefault="00104E1F" w:rsidP="00104E1F">
      <w:pPr>
        <w:pStyle w:val="bParagraphtext"/>
      </w:pPr>
      <w:r>
        <w:t xml:space="preserve">The </w:t>
      </w:r>
      <w:r w:rsidRPr="00104E1F">
        <w:t>calculation</w:t>
      </w:r>
      <w:r>
        <w:t xml:space="preserve"> of Special Expenses is based on an assessment of the types of work undertaken in parishes as a whole. The services are provided in at least one if not all the Parishes. However, in the case of cemeteries there is only one cemetery in the </w:t>
      </w:r>
      <w:proofErr w:type="spellStart"/>
      <w:r>
        <w:t>parished</w:t>
      </w:r>
      <w:proofErr w:type="spellEnd"/>
      <w:r>
        <w:t xml:space="preserve"> areas, located in Old Marston. As outlined in paragraph 10</w:t>
      </w:r>
      <w:r w:rsidR="001252B6">
        <w:t>,</w:t>
      </w:r>
      <w:r>
        <w:t xml:space="preserve"> Old Marston have put forward a successful case to the Council that the cemetery is available for use by people living outside of the Parish - particularly in respect of interment of ashes. The Council has previously accepted this case and approved a contribution to the Old Marston Precept. The total expenditure on the three remaining cemeteries has been charged across all areas except for the Old Marston Parish.</w:t>
      </w:r>
    </w:p>
    <w:p w:rsidR="001252B6" w:rsidRDefault="00104E1F" w:rsidP="00104E1F">
      <w:pPr>
        <w:pStyle w:val="bParagraphtext"/>
      </w:pPr>
      <w:r>
        <w:t>Further details of the calculations, as required by t</w:t>
      </w:r>
      <w:r w:rsidR="001252B6">
        <w:t>he Act are shown at Appendix 1.</w:t>
      </w:r>
    </w:p>
    <w:p w:rsidR="00104E1F" w:rsidRDefault="00104E1F" w:rsidP="00104E1F">
      <w:pPr>
        <w:pStyle w:val="bParagraphtext"/>
      </w:pPr>
      <w:r>
        <w:t>Taxes by area and by</w:t>
      </w:r>
      <w:r w:rsidR="001252B6">
        <w:t xml:space="preserve"> Band are shown at Appendix 2. </w:t>
      </w:r>
    </w:p>
    <w:p w:rsidR="001252B6" w:rsidRDefault="001252B6" w:rsidP="00D95A35"/>
    <w:p w:rsidR="001252B6" w:rsidRDefault="001252B6" w:rsidP="001252B6">
      <w:pPr>
        <w:pStyle w:val="Heading1"/>
      </w:pPr>
      <w:r w:rsidRPr="001252B6">
        <w:t>Oxfordshire County Council</w:t>
      </w:r>
    </w:p>
    <w:p w:rsidR="00104E1F" w:rsidRDefault="00104E1F" w:rsidP="00104E1F">
      <w:pPr>
        <w:pStyle w:val="bParagraphtext"/>
      </w:pPr>
      <w:r>
        <w:t>The County Council’s likely precept figure for 202</w:t>
      </w:r>
      <w:r w:rsidR="00030F98">
        <w:t>1/22</w:t>
      </w:r>
      <w:r>
        <w:t xml:space="preserve"> is £7</w:t>
      </w:r>
      <w:r w:rsidR="004273D7">
        <w:t>1,899,957.26</w:t>
      </w:r>
      <w:r>
        <w:t xml:space="preserve"> giving a Band D Council Tax of £1,</w:t>
      </w:r>
      <w:r w:rsidR="004273D7">
        <w:t>573.11</w:t>
      </w:r>
      <w:r>
        <w:t xml:space="preserve"> a </w:t>
      </w:r>
      <w:r w:rsidR="004273D7">
        <w:t>2</w:t>
      </w:r>
      <w:r>
        <w:t>.99% increase on the 20</w:t>
      </w:r>
      <w:r w:rsidR="00A005CC">
        <w:t>20/21</w:t>
      </w:r>
      <w:r>
        <w:t xml:space="preserve"> figure of £1,</w:t>
      </w:r>
      <w:r w:rsidR="00A005CC">
        <w:t>527.44</w:t>
      </w:r>
      <w:r>
        <w:t xml:space="preserve">. The figures are due to be finalised on </w:t>
      </w:r>
      <w:r w:rsidR="00A005CC">
        <w:t>9</w:t>
      </w:r>
      <w:r w:rsidR="001252B6">
        <w:t xml:space="preserve"> February</w:t>
      </w:r>
      <w:r>
        <w:t xml:space="preserve"> 202</w:t>
      </w:r>
      <w:r w:rsidR="00A005CC">
        <w:t>1</w:t>
      </w:r>
      <w:r>
        <w:t xml:space="preserve">. That percentage increase includes an Adult Social Care precept of </w:t>
      </w:r>
      <w:r w:rsidR="004273D7">
        <w:t>1</w:t>
      </w:r>
      <w:r>
        <w:t>%</w:t>
      </w:r>
      <w:r w:rsidR="004273D7">
        <w:t>. The</w:t>
      </w:r>
      <w:r>
        <w:t xml:space="preserve"> Provisional Local Government Finance settlement for 202</w:t>
      </w:r>
      <w:r w:rsidR="00A005CC">
        <w:t>1/22</w:t>
      </w:r>
      <w:r w:rsidR="004273D7">
        <w:t>,</w:t>
      </w:r>
      <w:r>
        <w:t xml:space="preserve"> announced on </w:t>
      </w:r>
      <w:r w:rsidR="00A005CC">
        <w:t>17</w:t>
      </w:r>
      <w:r>
        <w:t xml:space="preserve"> December 20</w:t>
      </w:r>
      <w:r w:rsidR="00A005CC">
        <w:t>20</w:t>
      </w:r>
      <w:r w:rsidR="004273D7">
        <w:t>, allowed Authorities with Adult Social Care responsibilities to raise an ASC precept of up to 3%</w:t>
      </w:r>
      <w:r>
        <w:t>.</w:t>
      </w:r>
      <w:r w:rsidR="004273D7">
        <w:t xml:space="preserve"> This was in addition to the normal referendum limit of 2%. </w:t>
      </w:r>
      <w:r>
        <w:t xml:space="preserve"> </w:t>
      </w:r>
    </w:p>
    <w:p w:rsidR="005C2F25" w:rsidRDefault="005C2F25" w:rsidP="005C2F25">
      <w:pPr>
        <w:pStyle w:val="bParagraphtext"/>
        <w:numPr>
          <w:ilvl w:val="0"/>
          <w:numId w:val="0"/>
        </w:numPr>
        <w:ind w:left="426"/>
      </w:pPr>
    </w:p>
    <w:p w:rsidR="001252B6" w:rsidRDefault="001252B6" w:rsidP="001252B6">
      <w:pPr>
        <w:pStyle w:val="Heading1"/>
      </w:pPr>
      <w:r>
        <w:lastRenderedPageBreak/>
        <w:t>Police and Crime Commissioner for Thames Valley</w:t>
      </w:r>
    </w:p>
    <w:p w:rsidR="00104E1F" w:rsidRDefault="00104E1F" w:rsidP="00104E1F">
      <w:pPr>
        <w:pStyle w:val="bParagraphtext"/>
      </w:pPr>
      <w:r>
        <w:t>The precept figure for 202</w:t>
      </w:r>
      <w:r w:rsidR="00A005CC">
        <w:t>1/22</w:t>
      </w:r>
      <w:r>
        <w:t xml:space="preserve"> is £</w:t>
      </w:r>
      <w:r w:rsidR="00A005CC">
        <w:t>10,570,791</w:t>
      </w:r>
      <w:r>
        <w:t xml:space="preserve"> giving a Band D Council Tax of £2</w:t>
      </w:r>
      <w:r w:rsidR="00A005CC">
        <w:t>31</w:t>
      </w:r>
      <w:r>
        <w:t xml:space="preserve">.28 a </w:t>
      </w:r>
      <w:r w:rsidR="00A005CC">
        <w:t>6.9</w:t>
      </w:r>
      <w:r>
        <w:t>% increase on the 20</w:t>
      </w:r>
      <w:r w:rsidR="00A005CC">
        <w:t>20/21</w:t>
      </w:r>
      <w:r>
        <w:t xml:space="preserve"> figure of £2</w:t>
      </w:r>
      <w:r w:rsidR="00A005CC">
        <w:t>1</w:t>
      </w:r>
      <w:r>
        <w:t xml:space="preserve">6.28. The Home Secretary announced on </w:t>
      </w:r>
      <w:r w:rsidR="001D6A56">
        <w:t>17 December</w:t>
      </w:r>
      <w:r>
        <w:t xml:space="preserve"> 2020 that he proposed to empower Police and Crime Commissioners to increase their Band D precept by up to £1</w:t>
      </w:r>
      <w:r w:rsidR="001D6A56">
        <w:t>5</w:t>
      </w:r>
      <w:r>
        <w:t xml:space="preserve"> in 202</w:t>
      </w:r>
      <w:r w:rsidR="001D6A56">
        <w:t>1/22</w:t>
      </w:r>
      <w:r>
        <w:t xml:space="preserve"> without the need to call for a local referendum. Th</w:t>
      </w:r>
      <w:r w:rsidR="00D472C0">
        <w:t xml:space="preserve">e precept figure was confirmed by the </w:t>
      </w:r>
      <w:r>
        <w:t>Police and Crime Panel</w:t>
      </w:r>
      <w:r w:rsidR="00D472C0">
        <w:t xml:space="preserve"> at its meeting on 29</w:t>
      </w:r>
      <w:r w:rsidR="00D472C0" w:rsidRPr="00D472C0">
        <w:rPr>
          <w:vertAlign w:val="superscript"/>
        </w:rPr>
        <w:t>th</w:t>
      </w:r>
      <w:r w:rsidR="00D472C0">
        <w:t xml:space="preserve"> January 2021</w:t>
      </w:r>
      <w:r>
        <w:t>.</w:t>
      </w:r>
    </w:p>
    <w:p w:rsidR="005C2F25" w:rsidRDefault="005C2F25" w:rsidP="005C2F25">
      <w:pPr>
        <w:pStyle w:val="bParagraphtext"/>
        <w:numPr>
          <w:ilvl w:val="0"/>
          <w:numId w:val="0"/>
        </w:numPr>
        <w:ind w:left="426"/>
      </w:pPr>
      <w:bookmarkStart w:id="0" w:name="_GoBack"/>
      <w:bookmarkEnd w:id="0"/>
    </w:p>
    <w:p w:rsidR="0040736F" w:rsidRPr="001356F1" w:rsidRDefault="002329CF" w:rsidP="004A6D2F">
      <w:pPr>
        <w:pStyle w:val="Heading1"/>
      </w:pPr>
      <w:r w:rsidRPr="001356F1">
        <w:t>Financial implications</w:t>
      </w:r>
    </w:p>
    <w:p w:rsidR="00104E1F" w:rsidRPr="00246846" w:rsidRDefault="00104E1F" w:rsidP="00246846">
      <w:pPr>
        <w:pStyle w:val="bParagraphtext"/>
      </w:pPr>
      <w:r w:rsidRPr="00246846">
        <w:t>These are all included within the main body of the report.</w:t>
      </w:r>
    </w:p>
    <w:p w:rsidR="0040736F" w:rsidRPr="001356F1" w:rsidRDefault="00DA614B" w:rsidP="004A6D2F">
      <w:pPr>
        <w:pStyle w:val="Heading1"/>
      </w:pPr>
      <w:r w:rsidRPr="001356F1">
        <w:t>Legal issues</w:t>
      </w:r>
    </w:p>
    <w:p w:rsidR="00104E1F" w:rsidRPr="001356F1" w:rsidRDefault="00104E1F" w:rsidP="00246846">
      <w:pPr>
        <w:pStyle w:val="bParagraphtext"/>
      </w:pPr>
      <w:r w:rsidRPr="00104E1F">
        <w:t>The Local Government Finance Acts, 1988 and 1992, as amended by The Localism Act 2011 prescribe th</w:t>
      </w:r>
      <w:r w:rsidR="004D07BF">
        <w:t xml:space="preserve">e calculations in this report. </w:t>
      </w:r>
      <w:r w:rsidRPr="00104E1F">
        <w:t>The Billing Authority is required under section 30 of the Local Government Finance Act 1992 to set</w:t>
      </w:r>
      <w:r w:rsidR="001252B6">
        <w:t xml:space="preserve"> the Council Tax before the 11</w:t>
      </w:r>
      <w:r w:rsidRPr="00104E1F">
        <w:t xml:space="preserve"> March in the preceding financial year.</w:t>
      </w:r>
    </w:p>
    <w:p w:rsidR="002329CF" w:rsidRPr="001356F1" w:rsidRDefault="002329CF" w:rsidP="004A6D2F">
      <w:pPr>
        <w:pStyle w:val="Heading1"/>
      </w:pPr>
      <w:r w:rsidRPr="001356F1">
        <w:t>Level of risk</w:t>
      </w:r>
      <w:r w:rsidR="00104E1F">
        <w:t xml:space="preserve"> and implications</w:t>
      </w:r>
    </w:p>
    <w:p w:rsidR="001252B6" w:rsidRDefault="00104E1F" w:rsidP="00104E1F">
      <w:pPr>
        <w:pStyle w:val="bParagraphtext"/>
      </w:pPr>
      <w:r w:rsidRPr="00104E1F">
        <w:t xml:space="preserve">Due to the increases explained in the paragraphs above Oxford residents will face an overall rise in their Council Tax liability for 2020/21 of </w:t>
      </w:r>
      <w:r w:rsidR="004273D7">
        <w:t>up to 3.3</w:t>
      </w:r>
      <w:r w:rsidRPr="00104E1F">
        <w:t>%. The average Band D Council Tax paid in Oxford in 20</w:t>
      </w:r>
      <w:r w:rsidR="001D6A56">
        <w:t>20/21</w:t>
      </w:r>
      <w:r w:rsidRPr="00104E1F">
        <w:t xml:space="preserve"> was £</w:t>
      </w:r>
      <w:r w:rsidR="001D6A56">
        <w:t>2,063.56</w:t>
      </w:r>
      <w:r w:rsidRPr="00104E1F">
        <w:t>. This will increase by £</w:t>
      </w:r>
      <w:r w:rsidR="004273D7">
        <w:t>67.08</w:t>
      </w:r>
      <w:r w:rsidRPr="00104E1F">
        <w:t xml:space="preserve"> to £2,</w:t>
      </w:r>
      <w:r w:rsidR="001D6A56">
        <w:t>1</w:t>
      </w:r>
      <w:r w:rsidR="004273D7">
        <w:t>30.64</w:t>
      </w:r>
      <w:r w:rsidRPr="00104E1F">
        <w:t xml:space="preserve"> in 202</w:t>
      </w:r>
      <w:r w:rsidR="001D6A56">
        <w:t>1/22</w:t>
      </w:r>
      <w:r w:rsidRPr="00104E1F">
        <w:t xml:space="preserve">. </w:t>
      </w:r>
    </w:p>
    <w:p w:rsidR="00104E1F" w:rsidRPr="001356F1" w:rsidRDefault="00104E1F" w:rsidP="00104E1F">
      <w:pPr>
        <w:pStyle w:val="bParagraphtext"/>
      </w:pPr>
      <w:r w:rsidRPr="00104E1F">
        <w:t>A risk assessment has been undertaken and a risk register is attached at Appendix 3. This includes a risk relating to the potential reputational impact on the City Council as Billing Authority for the area and a risk relating to the increased challenge of maintaining the collection rate.</w:t>
      </w:r>
    </w:p>
    <w:p w:rsidR="002329CF" w:rsidRPr="001356F1" w:rsidRDefault="002329CF" w:rsidP="0050321C">
      <w:pPr>
        <w:pStyle w:val="Heading1"/>
      </w:pPr>
      <w:r w:rsidRPr="001356F1">
        <w:t xml:space="preserve">Equalities impact </w:t>
      </w:r>
    </w:p>
    <w:p w:rsidR="00104E1F" w:rsidRPr="001356F1" w:rsidRDefault="00104E1F" w:rsidP="00104E1F">
      <w:pPr>
        <w:pStyle w:val="bParagraphtext"/>
      </w:pPr>
      <w:r w:rsidRPr="00104E1F">
        <w:t>It is difficult to estimate the dimensions of equality risks around Council Tax increases. The Council has put in place proportionate mitigating actions such as the Council Tax Support Scheme and the work of the Welfare Reform Team to protect the most vulnerable and economically challenged households across the City.</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1252B6" w:rsidP="00A46E98">
            <w:r>
              <w:t>Adrian Wood</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1252B6" w:rsidP="001252B6">
            <w:r>
              <w:t xml:space="preserve">Technical Officer,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1252B6"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1252B6">
            <w:r w:rsidRPr="001356F1">
              <w:t xml:space="preserve">01865 </w:t>
            </w:r>
            <w:r w:rsidR="001252B6">
              <w:t>252619</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C2F25" w:rsidP="00246846">
            <w:pPr>
              <w:rPr>
                <w:rStyle w:val="Hyperlink"/>
                <w:color w:val="000000"/>
              </w:rPr>
            </w:pPr>
            <w:hyperlink r:id="rId11" w:history="1">
              <w:r w:rsidR="001252B6" w:rsidRPr="00D84095">
                <w:rPr>
                  <w:rStyle w:val="Hyperlink"/>
                </w:rPr>
                <w:t>awood@oxford.gov.uk</w:t>
              </w:r>
            </w:hyperlink>
          </w:p>
        </w:tc>
      </w:tr>
    </w:tbl>
    <w:p w:rsidR="00433B96" w:rsidRPr="001356F1" w:rsidRDefault="00433B96" w:rsidP="004A6D2F"/>
    <w:p w:rsidR="00CE4C87" w:rsidRDefault="00CE4C87" w:rsidP="0093067A"/>
    <w:p w:rsidR="00821AAF" w:rsidRPr="009E51FC" w:rsidRDefault="00821AAF" w:rsidP="0093067A"/>
    <w:sectPr w:rsidR="00821AAF" w:rsidRPr="009E51FC" w:rsidSect="00246846">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7C6" w:rsidRDefault="002F67C6" w:rsidP="004A6D2F">
      <w:r>
        <w:separator/>
      </w:r>
    </w:p>
  </w:endnote>
  <w:endnote w:type="continuationSeparator" w:id="0">
    <w:p w:rsidR="002F67C6" w:rsidRDefault="002F67C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7C6" w:rsidRDefault="002F67C6" w:rsidP="004A6D2F">
      <w:r>
        <w:separator/>
      </w:r>
    </w:p>
  </w:footnote>
  <w:footnote w:type="continuationSeparator" w:id="0">
    <w:p w:rsidR="002F67C6" w:rsidRDefault="002F67C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30F98"/>
    <w:rsid w:val="00045F8B"/>
    <w:rsid w:val="00046D2B"/>
    <w:rsid w:val="00056263"/>
    <w:rsid w:val="00064D8A"/>
    <w:rsid w:val="00064F82"/>
    <w:rsid w:val="00066510"/>
    <w:rsid w:val="00077523"/>
    <w:rsid w:val="000C089F"/>
    <w:rsid w:val="000C3928"/>
    <w:rsid w:val="000C5E8E"/>
    <w:rsid w:val="000F4751"/>
    <w:rsid w:val="00104E1F"/>
    <w:rsid w:val="0010524C"/>
    <w:rsid w:val="00111FB1"/>
    <w:rsid w:val="00113418"/>
    <w:rsid w:val="001252B6"/>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D6A56"/>
    <w:rsid w:val="001E03F8"/>
    <w:rsid w:val="001E3376"/>
    <w:rsid w:val="002069B3"/>
    <w:rsid w:val="00216753"/>
    <w:rsid w:val="002329CF"/>
    <w:rsid w:val="00232F5B"/>
    <w:rsid w:val="00242CB5"/>
    <w:rsid w:val="00246846"/>
    <w:rsid w:val="00247C29"/>
    <w:rsid w:val="00260467"/>
    <w:rsid w:val="00263EA3"/>
    <w:rsid w:val="00284F85"/>
    <w:rsid w:val="00290915"/>
    <w:rsid w:val="002A22E2"/>
    <w:rsid w:val="002C64F7"/>
    <w:rsid w:val="002F41F2"/>
    <w:rsid w:val="002F67C6"/>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273D7"/>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C7062"/>
    <w:rsid w:val="004D07BF"/>
    <w:rsid w:val="004D2626"/>
    <w:rsid w:val="004D6E26"/>
    <w:rsid w:val="004D77D3"/>
    <w:rsid w:val="004D7FE2"/>
    <w:rsid w:val="004E2959"/>
    <w:rsid w:val="004F20EF"/>
    <w:rsid w:val="0050321C"/>
    <w:rsid w:val="0054712D"/>
    <w:rsid w:val="00547EF6"/>
    <w:rsid w:val="005570B5"/>
    <w:rsid w:val="00567E18"/>
    <w:rsid w:val="00575F5F"/>
    <w:rsid w:val="00581805"/>
    <w:rsid w:val="00585F76"/>
    <w:rsid w:val="005A2220"/>
    <w:rsid w:val="005A34E4"/>
    <w:rsid w:val="005B17F2"/>
    <w:rsid w:val="005B7FB0"/>
    <w:rsid w:val="005C2F25"/>
    <w:rsid w:val="005C35A5"/>
    <w:rsid w:val="005C577C"/>
    <w:rsid w:val="005D0621"/>
    <w:rsid w:val="005D1E27"/>
    <w:rsid w:val="005E022E"/>
    <w:rsid w:val="005E5215"/>
    <w:rsid w:val="005F7F7E"/>
    <w:rsid w:val="00600EBD"/>
    <w:rsid w:val="00614693"/>
    <w:rsid w:val="00623C2F"/>
    <w:rsid w:val="00632A88"/>
    <w:rsid w:val="00633578"/>
    <w:rsid w:val="00637068"/>
    <w:rsid w:val="00650811"/>
    <w:rsid w:val="00661D3E"/>
    <w:rsid w:val="00692627"/>
    <w:rsid w:val="006969E7"/>
    <w:rsid w:val="006A3643"/>
    <w:rsid w:val="006C2A29"/>
    <w:rsid w:val="006C617E"/>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174A8"/>
    <w:rsid w:val="00821AAF"/>
    <w:rsid w:val="00821FB8"/>
    <w:rsid w:val="00822ACD"/>
    <w:rsid w:val="00855C66"/>
    <w:rsid w:val="00871EE4"/>
    <w:rsid w:val="008B293F"/>
    <w:rsid w:val="008B7371"/>
    <w:rsid w:val="008D3DDB"/>
    <w:rsid w:val="008F52F7"/>
    <w:rsid w:val="008F573F"/>
    <w:rsid w:val="009034EC"/>
    <w:rsid w:val="0093067A"/>
    <w:rsid w:val="00941C60"/>
    <w:rsid w:val="0095458E"/>
    <w:rsid w:val="00966D42"/>
    <w:rsid w:val="00971689"/>
    <w:rsid w:val="00973E90"/>
    <w:rsid w:val="00975B07"/>
    <w:rsid w:val="00980B4A"/>
    <w:rsid w:val="009905E7"/>
    <w:rsid w:val="009D3679"/>
    <w:rsid w:val="009E3D0A"/>
    <w:rsid w:val="009E51FC"/>
    <w:rsid w:val="009F1D28"/>
    <w:rsid w:val="009F7618"/>
    <w:rsid w:val="00A005CC"/>
    <w:rsid w:val="00A04D23"/>
    <w:rsid w:val="00A06766"/>
    <w:rsid w:val="00A13765"/>
    <w:rsid w:val="00A21B12"/>
    <w:rsid w:val="00A23F80"/>
    <w:rsid w:val="00A3561A"/>
    <w:rsid w:val="00A44635"/>
    <w:rsid w:val="00A46E98"/>
    <w:rsid w:val="00A6352B"/>
    <w:rsid w:val="00A642B9"/>
    <w:rsid w:val="00A701B5"/>
    <w:rsid w:val="00A714BB"/>
    <w:rsid w:val="00A92D8F"/>
    <w:rsid w:val="00AB2988"/>
    <w:rsid w:val="00AB7999"/>
    <w:rsid w:val="00AD3292"/>
    <w:rsid w:val="00AE7AF0"/>
    <w:rsid w:val="00AF74D9"/>
    <w:rsid w:val="00B500CA"/>
    <w:rsid w:val="00B558E1"/>
    <w:rsid w:val="00B7799F"/>
    <w:rsid w:val="00B86314"/>
    <w:rsid w:val="00BA1C2E"/>
    <w:rsid w:val="00BC200B"/>
    <w:rsid w:val="00BC4756"/>
    <w:rsid w:val="00BC69A4"/>
    <w:rsid w:val="00BE0680"/>
    <w:rsid w:val="00BE305F"/>
    <w:rsid w:val="00BE7BA3"/>
    <w:rsid w:val="00BF43ED"/>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00BA8"/>
    <w:rsid w:val="00D11E1C"/>
    <w:rsid w:val="00D160B0"/>
    <w:rsid w:val="00D17F94"/>
    <w:rsid w:val="00D210B0"/>
    <w:rsid w:val="00D223FC"/>
    <w:rsid w:val="00D26D1E"/>
    <w:rsid w:val="00D472C0"/>
    <w:rsid w:val="00D474CF"/>
    <w:rsid w:val="00D5547E"/>
    <w:rsid w:val="00D6683E"/>
    <w:rsid w:val="00D72779"/>
    <w:rsid w:val="00D90A28"/>
    <w:rsid w:val="00D95A35"/>
    <w:rsid w:val="00DA413F"/>
    <w:rsid w:val="00DA4584"/>
    <w:rsid w:val="00DA614B"/>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40D2"/>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327844C-A06D-4403-A215-5794350F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ood@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D755B-781C-49F0-925A-074BA5E55C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03AB0CCD-6FA3-43F5-B386-197388A4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E8078CF8.dotm</Template>
  <TotalTime>8</TotalTime>
  <Pages>6</Pages>
  <Words>1795</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cp:lastModifiedBy>
  <cp:revision>4</cp:revision>
  <cp:lastPrinted>2015-07-03T12:50:00Z</cp:lastPrinted>
  <dcterms:created xsi:type="dcterms:W3CDTF">2021-02-08T09:04:00Z</dcterms:created>
  <dcterms:modified xsi:type="dcterms:W3CDTF">2021-02-08T17:14:00Z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